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r>
        <w:t xml:space="preserve"/>
      </w:r>
    </w:p>
    <w:p>
      <w:pPr>
        <w:spacing w:after="100"/>
        <w:jc w:val="center"/>
      </w:pPr>
      <w:r>
        <w:rPr>
          <w:rFonts w:ascii="Arial" w:cs="Arial" w:eastAsia="Arial" w:hAnsi="Arial"/>
          <w:b/>
          <w:bCs/>
          <w:color w:val="1F4E78"/>
          <w:sz w:val="50"/>
          <w:szCs w:val="50"/>
        </w:rPr>
        <w:t xml:space="preserve">UNIVERSAL</w:t>
      </w:r>
    </w:p>
    <w:p>
      <w:pPr>
        <w:spacing w:after="100"/>
        <w:jc w:val="center"/>
      </w:pPr>
      <w:r>
        <w:rPr>
          <w:rFonts w:ascii="Arial" w:cs="Arial" w:eastAsia="Arial" w:hAnsi="Arial"/>
          <w:b/>
          <w:bCs/>
          <w:color w:val="1F4E78"/>
          <w:sz w:val="50"/>
          <w:szCs w:val="50"/>
        </w:rPr>
        <w:t xml:space="preserve">MENTAL HEALTH</w:t>
      </w:r>
    </w:p>
    <w:p>
      <w:pPr>
        <w:spacing w:after="200"/>
        <w:jc w:val="center"/>
      </w:pPr>
      <w:r>
        <w:rPr>
          <w:rFonts w:ascii="Arial" w:cs="Arial" w:eastAsia="Arial" w:hAnsi="Arial"/>
          <w:b/>
          <w:bCs/>
          <w:color w:val="1F4E78"/>
          <w:sz w:val="50"/>
          <w:szCs w:val="50"/>
        </w:rPr>
        <w:t xml:space="preserve">ACCESS</w:t>
      </w:r>
    </w:p>
    <w:p>
      <w:pPr>
        <w:spacing w:after="200"/>
        <w:jc w:val="center"/>
      </w:pPr>
      <w:r>
        <w:rPr>
          <w:rFonts w:ascii="Arial" w:cs="Arial" w:eastAsia="Arial" w:hAnsi="Arial"/>
          <w:i/>
          <w:iCs/>
          <w:color w:val="C00000"/>
          <w:sz w:val="24"/>
          <w:szCs w:val="24"/>
        </w:rPr>
        <w:t xml:space="preserve">Substantiation: Workforce, Telehealth, Geography, and Enforcement</w:t>
      </w:r>
    </w:p>
    <w:p>
      <w:pPr>
        <w:pBdr>
          <w:bottom w:val="single" w:color="1F4E78" w:sz="18"/>
        </w:pBdr>
        <w:spacing w:after="600"/>
        <w:jc w:val="center"/>
      </w:pPr>
      <w:r>
        <w:t xml:space="preserve"/>
      </w:r>
    </w:p>
    <w:p>
      <w:pPr>
        <w:spacing w:after="200"/>
        <w:jc w:val="center"/>
      </w:pPr>
      <w:r>
        <w:rPr>
          <w:rFonts w:ascii="Georgia" w:cs="Georgia" w:eastAsia="Georgia" w:hAnsi="Georgia"/>
          <w:i/>
          <w:iCs/>
          <w:color w:val="1A1A1A"/>
          <w:sz w:val="24"/>
          <w:szCs w:val="24"/>
        </w:rPr>
        <w:t>How the platform delivers Universal Mental Health access</w:t>
      </w:r>
    </w:p>
    <w:p>
      <w:pPr>
        <w:spacing w:after="200"/>
        <w:jc w:val="center"/>
      </w:pPr>
      <w:r>
        <w:rPr>
          <w:rFonts w:ascii="Georgia" w:cs="Georgia" w:eastAsia="Georgia" w:hAnsi="Georgia"/>
          <w:i/>
          <w:iCs/>
          <w:color w:val="1A1A1A"/>
          <w:sz w:val="24"/>
          <w:szCs w:val="24"/>
        </w:rPr>
        <w:t xml:space="preserve">given that the psychiatrist workforce gap cannot be closed</w:t>
      </w:r>
    </w:p>
    <w:p>
      <w:pPr>
        <w:spacing w:after="1200"/>
        <w:jc w:val="center"/>
      </w:pPr>
      <w:r>
        <w:rPr>
          <w:rFonts w:ascii="Georgia" w:cs="Georgia" w:eastAsia="Georgia" w:hAnsi="Georgia"/>
          <w:i/>
          <w:iCs/>
          <w:color w:val="1A1A1A"/>
          <w:sz w:val="24"/>
          <w:szCs w:val="24"/>
        </w:rPr>
        <w:t xml:space="preserve">through training pipeline expansion alone.</w:t>
      </w:r>
    </w:p>
    <w:p>
      <w:pPr>
        <w:spacing w:before="1200"/>
      </w:pPr>
      <w:r>
        <w:t xml:space="preserve"/>
      </w:r>
    </w:p>
    <w:p>
      <w:pPr>
        <w:spacing w:after="80"/>
        <w:jc w:val="center"/>
      </w:pPr>
      <w:r>
        <w:rPr>
          <w:rFonts w:ascii="Georgia" w:cs="Georgia" w:eastAsia="Georgia" w:hAnsi="Georgia"/>
          <w:i/>
          <w:iCs/>
          <w:color w:val="595959"/>
          <w:sz w:val="22"/>
          <w:szCs w:val="22"/>
        </w:rPr>
        <w:t xml:space="preserve">An Analytical Framing Document</w:t>
      </w:r>
    </w:p>
    <w:p>
      <w:pPr>
        <w:spacing w:after="80"/>
        <w:jc w:val="center"/>
      </w:pPr>
      <w:r>
        <w:rPr>
          <w:rFonts w:ascii="Georgia" w:cs="Georgia" w:eastAsia="Georgia" w:hAnsi="Georgia"/>
          <w:b/>
          <w:bCs/>
          <w:color w:val="1A1A1A"/>
          <w:sz w:val="24"/>
          <w:szCs w:val="24"/>
        </w:rPr>
        <w:t xml:space="preserve">Jason Robertson</w:t>
      </w:r>
    </w:p>
    <w:p>
      <w:pPr>
        <w:spacing w:before="480"/>
        <w:jc w:val="center"/>
      </w:pPr>
      <w:r>
        <w:rPr>
          <w:rFonts w:ascii="Arial" w:cs="Arial" w:eastAsia="Arial" w:hAnsi="Arial"/>
          <w:i/>
          <w:iCs/>
          <w:color w:val="595959"/>
          <w:sz w:val="16"/>
          <w:szCs w:val="16"/>
        </w:rPr>
        <w:t>v1.0  ·  Created May 4, 2026  ·  Updated May 4, 2026 · content last changed v3.8.376</w:t>
      </w:r>
    </w:p>
    <w:p>
      <w:pPr>
        <w:jc w:val="center"/>
      </w:pPr>
      <w:r>
        <w:rPr>
          <w:rFonts w:ascii="Georgia" w:cs="Georgia" w:eastAsia="Georgia" w:hAnsi="Georgia"/>
          <w:color w:val="595959"/>
          <w:sz w:val="20"/>
          <w:szCs w:val="20"/>
        </w:rPr>
        <w:t xml:space="preserve">Ohio  ·  2026</w:t>
      </w:r>
    </w:p>
    <w:p>
      <w:r>
        <w:br w:type="page"/>
      </w:r>
    </w:p>
    <w:p>
      <w:r>
        <w:rPr>
          <w:b/>
        </w:rPr>
        <w:t xml:space="preserve">Activates After (Rollout Dependency). </w:t>
      </w:r>
      <w:r>
        <w:t>Under the platform's phased, gated rollout (Architectural Decision Principles, v3.7.558), this pillar belongs to the core universal-coverage phase. It is sequenced to activate after the funding base (Pillar One, the Community Contribution Plan) and the sovereign investment fund's initial capitalization are demonstrably stable, rather than switching on simultaneously with every other pillar. The specific stability gates that would authorize the move from the funding phase into coverage are not asserted here; they require macroeconomic and actuarial calibration and are tracked as the open question GUARD-1 in the Tracked Issues Registry. This sequencing is a design proposal the author can reorder, not a fixed schedule, and the ordering among the coverage pillars may be revised as that calibration matures.</w:t>
      </w:r>
    </w:p>
    <w:p>
      <w:pPr>
        <w:pStyle w:val="Heading1"/>
        <w:spacing w:after="240" w:before="480"/>
      </w:pPr>
      <w:r>
        <w:rPr>
          <w:rFonts w:ascii="Arial" w:cs="Arial" w:eastAsia="Arial" w:hAnsi="Arial"/>
          <w:b/>
          <w:bCs/>
          <w:color w:val="1F4E78"/>
          <w:sz w:val="36"/>
          <w:szCs w:val="36"/>
        </w:rPr>
        <w:t xml:space="preserve">The Problem This Document Addresses</w:t>
      </w:r>
    </w:p>
    <w:p>
      <w:pPr>
        <w:spacing w:after="240" w:line="340"/>
        <w:jc w:val="both"/>
      </w:pPr>
      <w:r>
        <w:rPr>
          <w:rFonts w:ascii="Georgia" w:cs="Georgia" w:eastAsia="Georgia" w:hAnsi="Georgia"/>
          <w:color w:val="1A1A1A"/>
          <w:sz w:val="24"/>
          <w:szCs w:val="24"/>
        </w:rPr>
        <w:t xml:space="preserve">The Universal Mental Health Access pillar appeared in earlier platform versions as a concept-level commitment with a basic mathematical model. The model demonstrated that universal access at 40% utilization is fiscally viable: program costs of approximately $130-150B annually, funded by a 0.5% employer + 0.3% employee payroll contribution producing $106B [RESTATED v3.8.376] from $104B, which used a rounded $13 trillion base; the registered base is $13.3006T, combined with continued $104B in existing federal mental health spending, leaves the system with a small surplus. The math worked. The substantive question was deeper: even if money is available, can the platform actually deliver universal access given the workforce constraint?</w:t>
      </w:r>
    </w:p>
    <w:p>
      <w:pPr>
        <w:pStyle w:val="Heading2"/>
        <w:spacing w:after="160" w:before="360"/>
      </w:pPr>
      <w:r>
        <w:rPr>
          <w:rFonts w:ascii="Arial" w:cs="Arial" w:eastAsia="Arial" w:hAnsi="Arial"/>
          <w:b/>
          <w:bCs/>
          <w:color w:val="1F4E78"/>
          <w:sz w:val="28"/>
          <w:szCs w:val="28"/>
        </w:rPr>
        <w:t xml:space="preserve">Why This Substantiation Comes First Among Concept-Level Pillars</w:t>
      </w:r>
    </w:p>
    <w:p>
      <w:pPr>
        <w:spacing w:after="200" w:line="320"/>
        <w:jc w:val="both"/>
      </w:pPr>
      <w:r>
        <w:rPr>
          <w:rFonts w:ascii="Georgia" w:cs="Georgia" w:eastAsia="Georgia" w:hAnsi="Georgia"/>
          <w:color w:val="1A1A1A"/>
          <w:sz w:val="22"/>
          <w:szCs w:val="22"/>
        </w:rPr>
        <w:t xml:space="preserve">The platform has three concept-level pillars (Universal Mental Health Access, Civic Infrastructure, Future Capacity Fund) and one meta-pillar (Proof-of-Concept Fund). Mental health is the right one to substantiate first for several reasons. The current crisis is acute: approximately 60 million American adults have any mental illness annually, of whom roughly 30 million go untreated. The federal government already spends $104B annually on mental health through Medicare, Medicaid, VA, and SAMHSA, providing existing infrastructure to build on. The pillar has an existing mathematical model rather than requiring construction from scratch. And the workforce constraint, while real, has known mitigations that this document articulates.</w:t>
      </w:r>
    </w:p>
    <w:p>
      <w:pPr>
        <w:spacing w:after="200" w:line="320"/>
        <w:jc w:val="both"/>
      </w:pPr>
      <w:r>
        <w:rPr>
          <w:rFonts w:ascii="Georgia" w:cs="Georgia" w:eastAsia="Georgia" w:hAnsi="Georgia"/>
          <w:color w:val="1A1A1A"/>
          <w:sz w:val="22"/>
          <w:szCs w:val="22"/>
        </w:rPr>
        <w:t xml:space="preserve">Civic Infrastructure and Future Capacity Fund are more conceptual; they would require construction from concept to model rather than expansion of an existing model. They warrant subsequent attention. The Proof-of-Concept Fund is a meta-pillar whose substantiation depends on having other pillars to pilot, making it most productively addressed after the others reach analytical maturity.</w:t>
      </w:r>
    </w:p>
    <w:p>
      <w:pPr>
        <w:pStyle w:val="Heading2"/>
        <w:spacing w:after="160" w:before="360"/>
      </w:pPr>
      <w:r>
        <w:rPr>
          <w:rFonts w:ascii="Arial" w:cs="Arial" w:eastAsia="Arial" w:hAnsi="Arial"/>
          <w:b/>
          <w:bCs/>
          <w:color w:val="1F4E78"/>
          <w:sz w:val="28"/>
          <w:szCs w:val="28"/>
        </w:rPr>
        <w:t xml:space="preserve">What This Document Does</w:t>
      </w:r>
    </w:p>
    <w:p>
      <w:pPr>
        <w:spacing w:after="200" w:line="320"/>
        <w:jc w:val="both"/>
      </w:pPr>
      <w:r>
        <w:rPr>
          <w:rFonts w:ascii="Georgia" w:cs="Georgia" w:eastAsia="Georgia" w:hAnsi="Georgia"/>
          <w:color w:val="1A1A1A"/>
          <w:sz w:val="22"/>
          <w:szCs w:val="22"/>
        </w:rPr>
        <w:t>This document substantiates the Universal Mental Health Access pillar with the depth that the universal healthcare Model and universal childcare Model achieved during prior platform development. The work parallels what was done for childcare and healthcare in v2.0 of the platform: starting from an existing model, identifying where depth was missing, building substantive analysis to fill those gaps, and producing a framing document that explains the substantiation work and acknowledges what remains unresolved.</w:t>
      </w:r>
    </w:p>
    <w:p>
      <w:pPr>
        <w:spacing w:after="200" w:line="320"/>
        <w:jc w:val="both"/>
      </w:pPr>
      <w:r>
        <w:rPr>
          <w:rFonts w:ascii="Georgia" w:cs="Georgia" w:eastAsia="Georgia" w:hAnsi="Georgia"/>
          <w:color w:val="1A1A1A"/>
          <w:sz w:val="22"/>
          <w:szCs w:val="22"/>
        </w:rPr>
        <w:t xml:space="preserve">Six areas receive substantive treatment: service category differentiation, workforce expansion mathematics, telehealth integration as capacity multiplier, geographic distribution analysis, parity enforcement mechanisms, and collaborative care integration. Each is articulated with enough specificity to be evaluated and refined by mental health policy specialists, clinicians, and the various stakeholders the actual implementation would require.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original mental health model demonstrated fiscal viability. This substantiation document demonstrates operational feasibility — specifically, how the platform delivers universal access given that the psychiatrist workforce gap cannot be closed through training alone in any reasonable timeframe.”</w:t>
            </w:r>
          </w:p>
        </w:tc>
      </w:tr>
    </w:tbl>
    <w:p>
      <w:r>
        <w:br w:type="page"/>
      </w:r>
    </w:p>
    <w:p>
      <w:pPr>
        <w:pStyle w:val="Heading1"/>
      </w:pPr>
      <w:r>
        <w:t>Historical Precedent: The Community Mental Health Act and Parity Legislation</w:t>
      </w:r>
    </w:p>
    <w:p>
      <w:r>
        <w:t>The architectural logic underlying Universal Mental Health Access has direct American precedent in the Community Mental Health Centers Act of 1963, which committed federal funding to constructing 1,500 community mental health centers nationwide to replace the institutional warehousing system that had defined American mental health care for over a century. President Kennedy signed the act three weeks before his assassination, framing it in his "bold new approach" address as moving mental health from segregation in institutions to integration in communities. Federal funding constructed approximately 750 centers before appropriations declined in the 1980s; the institutional gap that Kennedy described reemerged as mass incarceration and homelessness for those with serious mental illness.</w:t>
      </w:r>
    </w:p>
    <w:p>
      <w:r>
        <w:t>The Mental Health Parity and Addiction Equity Act of 2008 extended the architectural commitment by requiring group health insurance plans that cover mental health to do so at parity with physical health — same financial requirements, same treatment limitations, same provider networks. Enforcement has been incomplete; underlying coverage gaps continue. Universal Mental Health Access extends and completes this architectural logic by treating mental health as a primary-care service rather than a separately-administered specialty, with the same access, same coverage, and same outcome accountability as physical health — finally delivering what Kennedy described in 1963 and what parity legislation has attempted to enforce since 2008.</w:t>
      </w:r>
    </w:p>
    <w:p>
      <w:pPr>
        <w:pStyle w:val="Heading1"/>
        <w:spacing w:after="240" w:before="480"/>
      </w:pPr>
      <w:r>
        <w:rPr>
          <w:rFonts w:ascii="Arial" w:cs="Arial" w:eastAsia="Arial" w:hAnsi="Arial"/>
          <w:b/>
          <w:bCs/>
          <w:color w:val="1F4E78"/>
          <w:sz w:val="36"/>
          <w:szCs w:val="36"/>
        </w:rPr>
        <w:t xml:space="preserve">Service Category Differentiation</w:t>
      </w:r>
    </w:p>
    <w:p>
      <w:pPr>
        <w:spacing w:after="240" w:line="340"/>
        <w:jc w:val="both"/>
      </w:pPr>
      <w:r>
        <w:rPr>
          <w:rFonts w:ascii="Georgia" w:cs="Georgia" w:eastAsia="Georgia" w:hAnsi="Georgia"/>
          <w:color w:val="1A1A1A"/>
          <w:sz w:val="24"/>
          <w:szCs w:val="24"/>
        </w:rPr>
        <w:t xml:space="preserve">The original mental health model treated all visits as a single average $150 cost. The model substantiation breaks this down into six service categories with substantially different costs, volumes, provider requirements, and visit frequencies. The differentiation matters because workforce planning, telehealth integration, and parity enforcement all depend on understanding what kind of service is being delivered, not just how many visits are happening.</w:t>
      </w:r>
    </w:p>
    <w:p>
      <w:pPr>
        <w:spacing w:after="240" w:line="340"/>
        <w:jc w:val="both"/>
      </w:pPr>
      <w:r>
        <w:rPr>
          <w:rFonts w:ascii="Georgia" w:cs="Georgia" w:eastAsia="Georgia" w:hAnsi="Georgia"/>
          <w:color w:val="1A1A1A"/>
          <w:sz w:val="24"/>
          <w:szCs w:val="24"/>
        </w:rPr>
        <w:t xml:space="preserve">Pediatric mental health scope: the service-category decomposition below covers adult and pediatric mental-health services together. Pediatric mental health has distinct features that the eventual implementation detail will need to address — different workforce credentials (child and adolescent psychiatrists, child psychologists, school-based mental health professionals are subspecialty-trained), different service models (family-systems work, school-based delivery, parent-coaching components), and different reimbursement structures (collateral contacts with parents and teachers are billable in pediatric settings under specific CPT codes). At the architectural level the universal access principle is the same: pediatric mental health services are covered at 100 percent with no copays under the same payroll-funded mechanism. The detailed pediatric-specific design is identified as requiring child-and-adolescent mental-health policy expertise. The PMHNP expansion discussed below specifically benefits adult psychiatric medication management; the pediatric psychiatrist pipeline is even more constrained than the adult pipeline and requires separate mitigation analysis. (Pediatric scope note added in v3.7.201 via SITE-36 Pillar 6 review.)</w:t>
      </w:r>
    </w:p>
    <w:p>
      <w:pPr>
        <w:pStyle w:val="Heading2"/>
        <w:spacing w:after="160" w:before="360"/>
      </w:pPr>
      <w:r>
        <w:rPr>
          <w:rFonts w:ascii="Arial" w:cs="Arial" w:eastAsia="Arial" w:hAnsi="Arial"/>
          <w:b/>
          <w:bCs/>
          <w:color w:val="1F4E78"/>
          <w:sz w:val="28"/>
          <w:szCs w:val="28"/>
        </w:rPr>
        <w:t xml:space="preserve">The Six Service Categories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Service Category</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Cost/Visit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Visits/Yr</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$/User</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 of Users</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Therapy (general)</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$1,040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55%</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Psychiatric medication mgmt</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$220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$880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Brief intervention/screening</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Crisis intervention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Intensive outpatient (IOP)</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$280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36</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$10,080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Inpatient hospitalization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$1,800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 days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$12,600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0.5%</w:t>
            </w:r>
          </w:p>
        </w:tc>
      </w:tr>
    </w:tbl>
    <w:p>
      <w:pPr>
        <w:spacing w:after="240"/>
      </w:pPr>
      <w:r>
        <w:t xml:space="preserve"/>
      </w:r>
    </w:p>
    <w:p>
      <w:pPr>
        <w:spacing w:after="200" w:line="320"/>
        <w:jc w:val="both"/>
      </w:pPr>
      <w:r>
        <w:rPr>
          <w:rFonts w:ascii="Georgia" w:cs="Georgia" w:eastAsia="Georgia" w:hAnsi="Georgia"/>
          <w:color w:val="1A1A1A"/>
          <w:sz w:val="22"/>
          <w:szCs w:val="22"/>
        </w:rPr>
        <w:t xml:space="preserve">Therapy and psychiatric medication management together account for 85% of users but represent very different service models. Therapy involves 50-minute sessions, often weekly or biweekly, delivered primarily by psychologists, clinical social workers, and licensed counselors. Medication management involves 15-30 minute appointments, less frequent (typically quarterly), delivered by psychiatrists or psychiatric nurse practitioners (PMHNPs). The provider workforce required for these two categories is fundamentally different, which is why the original simple model's averaging obscured the workforce planning question.</w:t>
      </w:r>
    </w:p>
    <w:p>
      <w:pPr>
        <w:spacing w:after="200" w:line="320"/>
        <w:jc w:val="both"/>
      </w:pPr>
      <w:r>
        <w:rPr>
          <w:rFonts w:ascii="Georgia" w:cs="Georgia" w:eastAsia="Georgia" w:hAnsi="Georgia"/>
          <w:color w:val="1A1A1A"/>
          <w:sz w:val="22"/>
          <w:szCs w:val="22"/>
        </w:rPr>
        <w:t xml:space="preserve">The remaining 15% of users distribute across brief screening (high volume, low intensity), crisis intervention (low volume, high intensity), intensive outpatient programs (low volume, high intensity over 6-week courses), and inpatient hospitalization (rare, very high intensity). Each has its own workforce, infrastructure, and reimbursement requirements. Together they account for approximately 25% of total program cost despite being only 15% of users, because per-user costs are much higher.</w:t>
      </w:r>
    </w:p>
    <w:p>
      <w:pPr>
        <w:pStyle w:val="Heading2"/>
        <w:spacing w:after="160" w:before="360"/>
      </w:pPr>
      <w:r>
        <w:rPr>
          <w:rFonts w:ascii="Arial" w:cs="Arial" w:eastAsia="Arial" w:hAnsi="Arial"/>
          <w:b/>
          <w:bCs/>
          <w:color w:val="1F4E78"/>
          <w:sz w:val="28"/>
          <w:szCs w:val="28"/>
        </w:rPr>
        <w:t xml:space="preserve">Volume at Universal Access</w:t>
      </w:r>
    </w:p>
    <w:p>
      <w:pPr>
        <w:spacing w:after="200" w:line="320"/>
        <w:jc w:val="both"/>
      </w:pPr>
      <w:r>
        <w:rPr>
          <w:rFonts w:ascii="Georgia" w:cs="Georgia" w:eastAsia="Georgia" w:hAnsi="Georgia"/>
          <w:color w:val="1A1A1A"/>
          <w:sz w:val="22"/>
          <w:szCs w:val="22"/>
        </w:rPr>
        <w:t xml:space="preserve">At 40% utilization of the 260M US adult population, universal access produces approximately 104 million users annually. The model expansion calculates total volume at this utilization level: approximately 657 million annual visits across all categories, with total program cost of $113 billion (close to the original simple model's headline but with substantially better understanding of where the costs come from).</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Service Category</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Users (M)</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Visits (M)</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Total Cost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Provider Hours (M)</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Therapy</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57.2</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457.6</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$59.5B</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457.6</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Psychiatric med mgmt</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31.2</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124.8</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$27.5B</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62.4</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Brief intervention</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10.4</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10.4</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$0.8B</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2.6</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Crisis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4.7</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$2.8B</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9.4</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IOP</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56.2</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$15.7B</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42.1</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Inpatient</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0.5</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3.6</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$6.6B</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5.5</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Total</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104.0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657.3</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$112.8B</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579.5</w:t>
            </w:r>
          </w:p>
        </w:tc>
      </w:tr>
    </w:tbl>
    <w:p>
      <w:pPr>
        <w:spacing w:after="240"/>
      </w:pPr>
      <w:r>
        <w:t xml:space="preserve"/>
      </w:r>
    </w:p>
    <w:p>
      <w:pPr>
        <w:spacing w:after="200" w:line="320"/>
        <w:jc w:val="both"/>
      </w:pPr>
      <w:r>
        <w:rPr>
          <w:rFonts w:ascii="Georgia" w:cs="Georgia" w:eastAsia="Georgia" w:hAnsi="Georgia"/>
          <w:color w:val="1A1A1A"/>
          <w:sz w:val="22"/>
          <w:szCs w:val="22"/>
        </w:rPr>
        <w:t xml:space="preserve">The 580 million annual provider hours figure is the substantive number. Workforce planning and telehealth integration both must address whether the existing mental health workforce, augmented by buildout and telehealth multipliers, can deliver this volume.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“$112.8 billion in service delivery is the operational fiscal target. [RECONCILED v3.8.268: this is DIRECT SERVICE DELIVERY ONLY. The stress-test table's baseline of $167 billion is the pillar's full cost including administration, crisis infrastructure and the existing-spending base, and it is the figure FIG-mentalhealth-commitment's 145-200 range contains. The two are different scopes, not a disagreement, and the document previously stated both without saying so.] 580 million annual provider hours is the operational workforce target. The two are tied together — fund availability without workforce capacity produces only frustrated demand, while workforce capacity without funding produces uncompensated care.”</w:t>
            </w:r>
          </w:p>
        </w:tc>
      </w:tr>
    </w:tbl>
    <w:p>
      <w:r>
        <w:br w:type="page"/>
      </w:r>
    </w:p>
    <w:p>
      <w:pPr>
        <w:pStyle w:val="Heading1"/>
        <w:spacing w:after="240" w:before="480"/>
      </w:pPr>
      <w:r>
        <w:rPr>
          <w:rFonts w:ascii="Arial" w:cs="Arial" w:eastAsia="Arial" w:hAnsi="Arial"/>
          <w:b/>
          <w:bCs/>
          <w:color w:val="1F4E78"/>
          <w:sz w:val="36"/>
          <w:szCs w:val="36"/>
        </w:rPr>
        <w:t xml:space="preserve">Workforce Expansion: The Binding Constraint</w:t>
      </w:r>
    </w:p>
    <w:p>
      <w:pPr>
        <w:spacing w:after="240" w:line="340"/>
        <w:jc w:val="both"/>
      </w:pPr>
      <w:r>
        <w:rPr>
          <w:rFonts w:ascii="Georgia" w:cs="Georgia" w:eastAsia="Georgia" w:hAnsi="Georgia"/>
          <w:color w:val="1A1A1A"/>
          <w:sz w:val="24"/>
          <w:szCs w:val="24"/>
        </w:rPr>
        <w:t xml:space="preserve">The Universal Mental Health Access pillar's binding constraint is workforce, specifically the psychiatrist workforce. The model expansion makes this explicit: even maximum sustainable training pipeline expansion produces only about 1,140 net new psychiatrists per year. The gap between current count (28K) and required count (105K) is 77K. At training-pipeline rates alone, closing the gap takes 67+ years — longer than the platform's 60-year time horizon. This document articulates how the platform delivers universal access despite this fact.</w:t>
      </w:r>
    </w:p>
    <w:p>
      <w:pPr>
        <w:pStyle w:val="Heading2"/>
        <w:spacing w:after="160" w:before="360"/>
      </w:pPr>
      <w:r>
        <w:rPr>
          <w:rFonts w:ascii="Arial" w:cs="Arial" w:eastAsia="Arial" w:hAnsi="Arial"/>
          <w:b/>
          <w:bCs/>
          <w:color w:val="1F4E78"/>
          <w:sz w:val="28"/>
          <w:szCs w:val="28"/>
        </w:rPr>
        <w:t xml:space="preserve">Provider Workforce by Category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Provider Type</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Current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Required</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Net Add/Yr</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Years to Close Gap</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Psychiatrists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28,000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105,000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1,140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67.5 years</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 Nurse Pract</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18,000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35,000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3,140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5.4 years</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Psychologists (PhD)</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106,000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91,000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3,380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 (excess)</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Clinical Social Workers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250,000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100,000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13,000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 (excess)</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Licensed Counselors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350,000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77,000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5,500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 (excess)</w:t>
            </w:r>
          </w:p>
        </w:tc>
      </w:tr>
    </w:tbl>
    <w:p>
      <w:pPr>
        <w:spacing w:after="240"/>
      </w:pPr>
      <w:r>
        <w:t xml:space="preserve"/>
      </w:r>
    </w:p>
    <w:p>
      <w:pPr>
        <w:spacing w:after="200" w:line="320"/>
        <w:jc w:val="both"/>
      </w:pPr>
      <w:r>
        <w:rPr>
          <w:rFonts w:ascii="Georgia" w:cs="Georgia" w:eastAsia="Georgia" w:hAnsi="Georgia"/>
          <w:color w:val="1A1A1A"/>
          <w:sz w:val="22"/>
          <w:szCs w:val="22"/>
        </w:rPr>
        <w:t xml:space="preserve">The aggregate picture obscures the constraint. Total mental health workforce across all categories is approximately 752,000 — well above the approximately 408,000 required at universal access. The aggregate excess of 344,000 means total workforce numbers are not the binding constraint. The mismatch is in composition: psychiatrists are dramatically understaffed while psychologists, clinical social workers, and licensed counselors are present in numbers exceeding mental-health-specific requirements. Many of these excess providers are currently employed in non-clinical roles (administration, research, education) or in adjacent fields (school counseling, employee assistance programs) and would need to redirect to mental health specialty clinical practice.</w:t>
      </w:r>
    </w:p>
    <w:p>
      <w:pPr>
        <w:pStyle w:val="Heading2"/>
        <w:spacing w:after="160" w:before="360"/>
      </w:pPr>
      <w:r>
        <w:rPr>
          <w:rFonts w:ascii="Arial" w:cs="Arial" w:eastAsia="Arial" w:hAnsi="Arial"/>
          <w:b/>
          <w:bCs/>
          <w:color w:val="1F4E78"/>
          <w:sz w:val="28"/>
          <w:szCs w:val="28"/>
        </w:rPr>
        <w:t xml:space="preserve">Why the Psychiatrist Pipeline Cannot Be Accelerated Quickly</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Constraints on psychiatrist workforce expansion</w:t>
            </w:r>
          </w:p>
          <w:p>
            <w:pPr>
              <w:spacing w:after="100" w:line="280"/>
            </w:pPr>
            <w:r>
              <w:rPr>
                <w:rFonts w:ascii="Georgia" w:cs="Georgia" w:eastAsia="Georgia" w:hAnsi="Georgia"/>
                <w:color w:val="1A1A1A"/>
                <w:sz w:val="21"/>
                <w:szCs w:val="21"/>
              </w:rPr>
              <w:t xml:space="preserve">•  Psychiatry residency requires 4 years of post-medical-school training following 4 years of medical school. The pipeline from college freshman to practicing psychiatrist is 12 years.</w:t>
            </w:r>
          </w:p>
          <w:p>
            <w:pPr>
              <w:spacing w:after="100" w:line="280"/>
            </w:pPr>
            <w:r>
              <w:rPr>
                <w:rFonts w:ascii="Georgia" w:cs="Georgia" w:eastAsia="Georgia" w:hAnsi="Georgia"/>
                <w:color w:val="1A1A1A"/>
                <w:sz w:val="21"/>
                <w:szCs w:val="21"/>
              </w:rPr>
              <w:t xml:space="preserve">•  The annual production of new psychiatrists is constrained by the number of residency slots, which is itself capped by Centers for Medicare and Medicaid Services (CMS) graduate medical education funding.</w:t>
            </w:r>
          </w:p>
          <w:p>
            <w:pPr>
              <w:spacing w:after="100" w:line="280"/>
            </w:pPr>
            <w:r>
              <w:rPr>
                <w:rFonts w:ascii="Georgia" w:cs="Georgia" w:eastAsia="Georgia" w:hAnsi="Georgia"/>
                <w:color w:val="1A1A1A"/>
                <w:sz w:val="21"/>
                <w:szCs w:val="21"/>
              </w:rPr>
              <w:t xml:space="preserve">•  Expanding residency slots requires either Congressional action to lift the CMS cap or alternative funding sources for new programs.</w:t>
            </w:r>
          </w:p>
          <w:p>
            <w:pPr>
              <w:spacing w:after="100" w:line="280"/>
            </w:pPr>
            <w:r>
              <w:rPr>
                <w:rFonts w:ascii="Georgia" w:cs="Georgia" w:eastAsia="Georgia" w:hAnsi="Georgia"/>
                <w:color w:val="1A1A1A"/>
                <w:sz w:val="21"/>
                <w:szCs w:val="21"/>
              </w:rPr>
              <w:t xml:space="preserve">•  Even with unlimited funding, building new residency programs requires time: program accreditation, clinical placement infrastructure, faculty recruitment, and institutional buy-in collectively take 5-10 years.</w:t>
            </w:r>
          </w:p>
          <w:p>
            <w:pPr>
              <w:spacing w:after="100" w:line="280"/>
            </w:pPr>
            <w:r>
              <w:rPr>
                <w:rFonts w:ascii="Georgia" w:cs="Georgia" w:eastAsia="Georgia" w:hAnsi="Georgia"/>
                <w:color w:val="1A1A1A"/>
                <w:sz w:val="21"/>
                <w:szCs w:val="21"/>
              </w:rPr>
              <w:t xml:space="preserve">•  Psychiatric residency requires substantial clinical training infrastructure (inpatient psychiatric units, outpatient clinics, supervisory faculty) that doesn't exist in surplus form.</w:t>
            </w:r>
          </w:p>
          <w:p>
            <w:pPr>
              <w:spacing w:after="100" w:line="280"/>
            </w:pPr>
            <w:r>
              <w:rPr>
                <w:rFonts w:ascii="Georgia" w:cs="Georgia" w:eastAsia="Georgia" w:hAnsi="Georgia"/>
                <w:color w:val="1A1A1A"/>
                <w:sz w:val="21"/>
                <w:szCs w:val="21"/>
              </w:rPr>
              <w:t xml:space="preserve">•  International medical graduate (IMG) pathways exist but face credentialing barriers that limit the immediate impact of foreign-trained psychiatrists.</w:t>
            </w:r>
          </w:p>
        </w:tc>
      </w:tr>
    </w:tbl>
    <w:p>
      <w:pPr>
        <w:pStyle w:val="Heading2"/>
        <w:spacing w:after="160" w:before="360"/>
      </w:pPr>
      <w:r>
        <w:rPr>
          <w:rFonts w:ascii="Arial" w:cs="Arial" w:eastAsia="Arial" w:hAnsi="Arial"/>
          <w:b/>
          <w:bCs/>
          <w:color w:val="1F4E78"/>
          <w:sz w:val="28"/>
          <w:szCs w:val="28"/>
        </w:rPr>
        <w:t xml:space="preserve">The Three Workforce Mitigations</w:t>
      </w:r>
    </w:p>
    <w:p>
      <w:pPr>
        <w:spacing w:after="200" w:line="320"/>
        <w:jc w:val="both"/>
      </w:pPr>
      <w:r>
        <w:rPr>
          <w:rFonts w:ascii="Georgia" w:cs="Georgia" w:eastAsia="Georgia" w:hAnsi="Georgia"/>
          <w:color w:val="1A1A1A"/>
          <w:sz w:val="22"/>
          <w:szCs w:val="22"/>
        </w:rPr>
        <w:t>Given that the psychiatrist gap cannot be closed through training pipeline expansion alone, the platform relies on three specific mitigations. The first is psychiatric nurse practitioner (Psychiatric-Mental Health Nurse Practitioner (PMHNP)) expansion. The second is telehealth integration as capacity multiplier (covered in detail in the next section). The third is collaborative care integration with primary care (covered after telehealth).</w:t>
      </w:r>
    </w:p>
    <w:p>
      <w:pPr>
        <w:pStyle w:val="Heading3"/>
        <w:spacing w:after="120" w:before="240"/>
      </w:pPr>
      <w:r>
        <w:rPr>
          <w:rFonts w:ascii="Arial" w:cs="Arial" w:eastAsia="Arial" w:hAnsi="Arial"/>
          <w:b/>
          <w:bCs/>
          <w:color w:val="C00000"/>
          <w:sz w:val="22"/>
          <w:szCs w:val="22"/>
        </w:rPr>
        <w:t xml:space="preserve">Mitigation 1: PMHNP Expansion</w:t>
      </w:r>
    </w:p>
    <w:p>
      <w:pPr>
        <w:spacing w:after="200" w:line="320"/>
        <w:jc w:val="both"/>
      </w:pPr>
      <w:r>
        <w:rPr>
          <w:rFonts w:ascii="Georgia" w:cs="Georgia" w:eastAsia="Georgia" w:hAnsi="Georgia"/>
          <w:color w:val="1A1A1A"/>
          <w:sz w:val="22"/>
          <w:szCs w:val="22"/>
        </w:rPr>
        <w:t xml:space="preserve">Psychiatric Nurse Practitioners can prescribe psychiatric medications and provide medication management in 50 states (with varying degrees of supervisory requirement). PMHNP training is a 2-3 year master's or doctoral program following nursing licensure, dramatically shorter than psychiatry residency. Annual PMHNP graduation rates are growing rapidly (currently approximately 3,500 net new per year, more than triple the psychiatrist net addition rate). PMHNPs partially substitute for psychiatrists in routine medication management, which is the largest psychiatrist time sink. Expanding scope-of-practice in restrictive states and aligning reimbursement parity between psychiatrists and PMHNPs for equivalent services accelerates this substitution.</w:t>
      </w:r>
    </w:p>
    <w:p>
      <w:pPr>
        <w:spacing w:after="200" w:line="320"/>
        <w:jc w:val="both"/>
      </w:pPr>
      <w:r>
        <w:rPr>
          <w:rFonts w:ascii="Georgia" w:cs="Georgia" w:eastAsia="Georgia" w:hAnsi="Georgia"/>
          <w:color w:val="1A1A1A"/>
          <w:sz w:val="22"/>
          <w:szCs w:val="22"/>
        </w:rPr>
        <w:t xml:space="preserve">The PMHNP workforce reaching 35,000 by Year 5-6 (versus current 18,000) substantially augments psychiatric medication management capacity. Combined with the existing 28,000 psychiatrists, total psychiatric prescribing capacity reaches 63,000 providers — substantially closer to the universal-access requirement than psychiatrists alone could provide.</w:t>
      </w:r>
    </w:p>
    <w:p>
      <w:pPr>
        <w:pStyle w:val="Heading3"/>
        <w:spacing w:after="120" w:before="240"/>
      </w:pPr>
      <w:r>
        <w:rPr>
          <w:rFonts w:ascii="Arial" w:cs="Arial" w:eastAsia="Arial" w:hAnsi="Arial"/>
          <w:b/>
          <w:bCs/>
          <w:color w:val="C00000"/>
          <w:sz w:val="22"/>
          <w:szCs w:val="22"/>
        </w:rPr>
        <w:t xml:space="preserve">Mitigation 2: Workforce Redistribution</w:t>
      </w:r>
    </w:p>
    <w:p>
      <w:pPr>
        <w:spacing w:after="200" w:line="320"/>
        <w:jc w:val="both"/>
      </w:pPr>
      <w:r>
        <w:rPr>
          <w:rFonts w:ascii="Georgia" w:cs="Georgia" w:eastAsia="Georgia" w:hAnsi="Georgia"/>
          <w:color w:val="1A1A1A"/>
          <w:sz w:val="22"/>
          <w:szCs w:val="22"/>
        </w:rPr>
        <w:t xml:space="preserve">The aggregate excess in psychologists, clinical social workers, and licensed counselors represents an opportunity rather than a problem. Many of these providers are currently in roles that don't directly deliver mental health clinical services: administrative positions, school settings (where some MH services are provided but not at clinical specialty intensity), employee assistance programs (limited episode counts), and community programs (often without clinical intensity). The platform's universal access funding creates economic demand for these providers to shift toward direct clinical practice.</w:t>
      </w:r>
    </w:p>
    <w:p>
      <w:pPr>
        <w:spacing w:after="200" w:line="320"/>
        <w:jc w:val="both"/>
      </w:pPr>
      <w:r>
        <w:rPr>
          <w:rFonts w:ascii="Georgia" w:cs="Georgia" w:eastAsia="Georgia" w:hAnsi="Georgia"/>
          <w:color w:val="1A1A1A"/>
          <w:sz w:val="22"/>
          <w:szCs w:val="22"/>
        </w:rPr>
        <w:t xml:space="preserve">Specifically, of the 250,000 LCSWs and 350,000 LPCs in the workforce, only a fraction currently practice in mental health clinical specialty roles. The platform's funding mechanism (universal access reimbursement at sustainable rates) creates the demand-side conditions for redistribution. Combined with workforce development programs (loan forgiveness for clinical specialty practice, continuing education funding, supervisor support for new specialty practitioners), a substantial portion of the existing surplus can be redirected to clinical mental health practice within 3-5 years.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psychiatrist workforce takes 67 years to close through training alone. PMHNP expansion plus workforce redistribution close the gap to operational adequacy by Year 8-12 — but only when combined with telehealth integration and collaborative care models.”</w:t>
            </w:r>
          </w:p>
        </w:tc>
      </w:tr>
    </w:tbl>
    <w:p>
      <w:r>
        <w:br w:type="page"/>
      </w:r>
    </w:p>
    <w:p>
      <w:pPr>
        <w:pStyle w:val="Heading1"/>
        <w:spacing w:after="240" w:before="480"/>
      </w:pPr>
      <w:r>
        <w:rPr>
          <w:rFonts w:ascii="Arial" w:cs="Arial" w:eastAsia="Arial" w:hAnsi="Arial"/>
          <w:b/>
          <w:bCs/>
          <w:color w:val="1F4E78"/>
          <w:sz w:val="36"/>
          <w:szCs w:val="36"/>
        </w:rPr>
        <w:t xml:space="preserve">Telehealth Integration: The Force Multiplier</w:t>
      </w:r>
    </w:p>
    <w:p>
      <w:pPr>
        <w:spacing w:after="240" w:line="340"/>
        <w:jc w:val="both"/>
      </w:pPr>
      <w:r>
        <w:rPr>
          <w:rFonts w:ascii="Georgia" w:cs="Georgia" w:eastAsia="Georgia" w:hAnsi="Georgia"/>
          <w:color w:val="1A1A1A"/>
          <w:sz w:val="24"/>
          <w:szCs w:val="24"/>
        </w:rPr>
        <w:t xml:space="preserve">Mental health is the medical specialty where telehealth works best. Most visits don't require physical examination. Studies during COVID-era expansion found psychiatric medication management via telehealth was non-inferior to in-person care, and several therapy modalities (cognitive behavioral therapy, motivational interviewing, dialectical behavior therapy components) showed equivalent or superior outcomes via video. Telehealth dramatically expands effective provider capacity and partially closes geographic access gaps. It is the single biggest force multiplier in the workforce equation.</w:t>
      </w:r>
    </w:p>
    <w:p>
      <w:pPr>
        <w:pStyle w:val="Heading2"/>
        <w:spacing w:after="160" w:before="360"/>
      </w:pPr>
      <w:r>
        <w:rPr>
          <w:rFonts w:ascii="Arial" w:cs="Arial" w:eastAsia="Arial" w:hAnsi="Arial"/>
          <w:b/>
          <w:bCs/>
          <w:color w:val="1F4E78"/>
          <w:sz w:val="28"/>
          <w:szCs w:val="28"/>
        </w:rPr>
        <w:t xml:space="preserve">Capacity Multipliers by Service Type</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Service Type</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Telehealth Suitability</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Capacity Multiplier</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 via Telehealth</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Therapy (general)</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High</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1.5x</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Psychiatric med mgmt</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Very High</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2.5x</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Brief intervention</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High</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1.4x</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Crisis intervention</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Low</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1.0x</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IOP</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Medium</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1.2x</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Inpatient</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None</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1.0x</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r>
    </w:tbl>
    <w:p>
      <w:pPr>
        <w:spacing w:after="240"/>
      </w:pPr>
      <w:r>
        <w:t xml:space="preserve"/>
      </w:r>
    </w:p>
    <w:p>
      <w:pPr>
        <w:spacing w:after="200" w:line="320"/>
        <w:jc w:val="both"/>
      </w:pPr>
      <w:r>
        <w:rPr>
          <w:rFonts w:ascii="Georgia" w:cs="Georgia" w:eastAsia="Georgia" w:hAnsi="Georgia"/>
          <w:color w:val="1A1A1A"/>
          <w:sz w:val="22"/>
          <w:szCs w:val="22"/>
        </w:rPr>
        <w:t xml:space="preserve">The 2.5x multiplier for psychiatric medication management is the most important number in this analysis. Because medication management visits are short (15-30 minutes), telehealth eliminates the patient travel time, room turnover time, and transition overhead that limits in-person scheduling efficiency. A psychiatrist who sees 16 patients per day in person can effectively see 32-40 patients per day via telehealth without compromising care quality for routine medication management. This means 28,000 psychiatrists with 75% telehealth integration produce capacity equivalent to approximately 53,000 psychiatrists practicing entirely in person.</w:t>
      </w:r>
    </w:p>
    <w:p>
      <w:pPr>
        <w:spacing w:after="200" w:line="320"/>
        <w:jc w:val="both"/>
      </w:pPr>
      <w:r>
        <w:rPr>
          <w:rFonts w:ascii="Georgia" w:cs="Georgia" w:eastAsia="Georgia" w:hAnsi="Georgia"/>
          <w:color w:val="1A1A1A"/>
          <w:sz w:val="22"/>
          <w:szCs w:val="22"/>
        </w:rPr>
        <w:t xml:space="preserve">Combined with PMHNP expansion to 35,000 (also benefiting from the same telehealth multiplier), effective psychiatric prescribing capacity reaches 53K + 66K = 119K provider-equivalents. This exceeds the universal-access requirement of 105K. The math works — but only when telehealth integration is real, not aspirational.</w:t>
      </w:r>
    </w:p>
    <w:p>
      <w:pPr>
        <w:spacing w:after="200" w:line="320"/>
        <w:jc w:val="both"/>
      </w:pPr>
      <w:r>
        <w:rPr>
          <w:rFonts w:ascii="Georgia" w:cs="Georgia" w:eastAsia="Georgia" w:hAnsi="Georgia"/>
          <w:color w:val="1A1A1A"/>
          <w:sz w:val="22"/>
          <w:szCs w:val="22"/>
        </w:rPr>
        <w:t xml:space="preserve">Prescriber capacity calculation detail: the 119K provider-equivalent figure is the weighted result of applying telehealth multipliers across the prescriber mix, not a simple 2.5x multiplication. Approximately 70 percent of psychiatric medication management visits are amenable to telehealth at the 2.5x multiplier (the COVID-era studies cited in the Capacity Multipliers section apply specifically to routine medication management); the remaining 30 percent (initial consults with complex presentations, controlled-substance prescribing requiring in-person assessment under DEA Ryan Haight Act provisions, and patients without reliable broadband or appropriate private space for telehealth) deliver at the 1.0x base multiplier. The blended multiplier: 0.7 times 2.5 plus 0.3 times 1.0 equals approximately 1.9x. Applied to 28K psychiatrists yields about 53K provider-equivalents; applied to 35K PMHNPs yields about 66K provider-equivalents; sum is 119K. This exceeds the 105K universal-access prescribing requirement with approximately 13 percent margin. (Calculation detail added in v3.7.201 via SITE-36 Pillar 6 review.)</w:t>
      </w:r>
    </w:p>
    <w:p>
      <w:pPr>
        <w:pStyle w:val="Heading2"/>
        <w:spacing w:after="160" w:before="360"/>
      </w:pPr>
      <w:r>
        <w:rPr>
          <w:rFonts w:ascii="Arial" w:cs="Arial" w:eastAsia="Arial" w:hAnsi="Arial"/>
          <w:b/>
          <w:bCs/>
          <w:color w:val="1F4E78"/>
          <w:sz w:val="28"/>
          <w:szCs w:val="28"/>
        </w:rPr>
        <w:t xml:space="preserve">Implementation Requirements for Effective Telehealth</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What real telehealth integration requires</w:t>
            </w:r>
          </w:p>
          <w:p>
            <w:pPr>
              <w:spacing w:after="100" w:line="280"/>
            </w:pPr>
            <w:r>
              <w:rPr>
                <w:rFonts w:ascii="Georgia" w:cs="Georgia" w:eastAsia="Georgia" w:hAnsi="Georgia"/>
                <w:color w:val="1A1A1A"/>
                <w:sz w:val="21"/>
                <w:szCs w:val="21"/>
              </w:rPr>
              <w:t xml:space="preserve">•  Cross-state licensing reciprocity — currently providers must be licensed in the patient's state, severely limiting telehealth across state lines. Interstate Medical Licensure Compact (IMLC) and similar arrangements need expansion.</w:t>
            </w:r>
          </w:p>
          <w:p>
            <w:pPr>
              <w:spacing w:after="100" w:line="280"/>
            </w:pPr>
            <w:r>
              <w:rPr>
                <w:rFonts w:ascii="Georgia" w:cs="Georgia" w:eastAsia="Georgia" w:hAnsi="Georgia"/>
                <w:color w:val="1A1A1A"/>
                <w:sz w:val="21"/>
                <w:szCs w:val="21"/>
              </w:rPr>
              <w:t xml:space="preserve">•  Reimbursement parity — telehealth and in-person reimbursed at same rates. Currently varies significantly by payer, creating disincentives for telehealth adoption. Many states made temporary parity permanent post-COVID; federal alignment needed.</w:t>
            </w:r>
          </w:p>
          <w:p>
            <w:pPr>
              <w:spacing w:after="100" w:line="280"/>
            </w:pPr>
            <w:r>
              <w:rPr>
                <w:rFonts w:ascii="Georgia" w:cs="Georgia" w:eastAsia="Georgia" w:hAnsi="Georgia"/>
                <w:color w:val="1A1A1A"/>
                <w:sz w:val="21"/>
                <w:szCs w:val="21"/>
              </w:rPr>
              <w:t>•  Broadband access — rural areas with poor connectivity cannot use video telehealth effectively. The platform's broader Civic Infrastructure pillar must include broadband investment, particularly for HPSA areas.</w:t>
            </w:r>
          </w:p>
          <w:p>
            <w:pPr>
              <w:spacing w:after="100" w:line="280"/>
            </w:pPr>
            <w:r>
              <w:rPr>
                <w:rFonts w:ascii="Georgia" w:cs="Georgia" w:eastAsia="Georgia" w:hAnsi="Georgia"/>
                <w:color w:val="1A1A1A"/>
                <w:sz w:val="21"/>
                <w:szCs w:val="21"/>
              </w:rPr>
              <w:t xml:space="preserve">•  Patient digital literacy support — older adults and low-income populations may need additional support to use telehealth platforms effectively.</w:t>
            </w:r>
          </w:p>
          <w:p>
            <w:pPr>
              <w:spacing w:after="100" w:line="280"/>
            </w:pPr>
            <w:r>
              <w:rPr>
                <w:rFonts w:ascii="Georgia" w:cs="Georgia" w:eastAsia="Georgia" w:hAnsi="Georgia"/>
                <w:color w:val="1A1A1A"/>
                <w:sz w:val="21"/>
                <w:szCs w:val="21"/>
              </w:rPr>
              <w:t xml:space="preserve">•  Privacy and security infrastructure — HIPAA-compliant platforms required. Many existing platforms meet this standard, but consistent enforcement matters.</w:t>
            </w:r>
          </w:p>
          <w:p>
            <w:pPr>
              <w:spacing w:after="100" w:line="280"/>
            </w:pPr>
            <w:r>
              <w:rPr>
                <w:rFonts w:ascii="Georgia" w:cs="Georgia" w:eastAsia="Georgia" w:hAnsi="Georgia"/>
                <w:color w:val="1A1A1A"/>
                <w:sz w:val="21"/>
                <w:szCs w:val="21"/>
              </w:rPr>
              <w:t xml:space="preserve">•  Provider training — many clinicians benefit from formal telehealth practice training. Brief training programs (4-8 hours) substantially improve telehealth quality and provider comfort.</w:t>
            </w:r>
          </w:p>
          <w:p>
            <w:pPr>
              <w:spacing w:after="100" w:line="280"/>
            </w:pPr>
            <w:r>
              <w:rPr>
                <w:rFonts w:ascii="Georgia" w:cs="Georgia" w:eastAsia="Georgia" w:hAnsi="Georgia"/>
                <w:color w:val="1A1A1A"/>
                <w:sz w:val="21"/>
                <w:szCs w:val="21"/>
              </w:rPr>
              <w:t xml:space="preserve">•  EHR system integration — documentation should flow seamlessly across telehealth and in-person modalities, not require separate workflows.</w:t>
            </w:r>
          </w:p>
        </w:tc>
      </w:tr>
    </w:tbl>
    <w:p>
      <w:pPr>
        <w:pStyle w:val="Heading2"/>
        <w:spacing w:after="160" w:before="360"/>
      </w:pPr>
      <w:r>
        <w:rPr>
          <w:rFonts w:ascii="Arial" w:cs="Arial" w:eastAsia="Arial" w:hAnsi="Arial"/>
          <w:b/>
          <w:bCs/>
          <w:color w:val="1F4E78"/>
          <w:sz w:val="28"/>
          <w:szCs w:val="28"/>
        </w:rPr>
        <w:t xml:space="preserve">What Telehealth Cannot Do</w:t>
      </w:r>
    </w:p>
    <w:p>
      <w:pPr>
        <w:spacing w:after="200" w:line="320"/>
        <w:jc w:val="both"/>
      </w:pPr>
      <w:r>
        <w:rPr>
          <w:rFonts w:ascii="Georgia" w:cs="Georgia" w:eastAsia="Georgia" w:hAnsi="Georgia"/>
          <w:color w:val="1A1A1A"/>
          <w:sz w:val="22"/>
          <w:szCs w:val="22"/>
        </w:rPr>
        <w:t xml:space="preserve">Telehealth's limitations are real and important to acknowledge. Crisis intervention typically requires in-person assessment for safety reasons. Inpatient hospitalization is inherently in-person. Some therapy modalities (particularly play therapy for children, certain group therapies, and some trauma-focused therapies requiring physical presence) have limited telehealth viability. Patients without reliable internet access or private space for confidential conversations cannot use video telehealth (though phone-only telehealth, expanded permanently in some states, partially addresses this).</w:t>
      </w:r>
    </w:p>
    <w:p>
      <w:pPr>
        <w:spacing w:after="200" w:line="320"/>
        <w:jc w:val="both"/>
      </w:pPr>
      <w:r>
        <w:rPr>
          <w:rFonts w:ascii="Georgia" w:cs="Georgia" w:eastAsia="Georgia" w:hAnsi="Georgia"/>
          <w:color w:val="1A1A1A"/>
          <w:sz w:val="22"/>
          <w:szCs w:val="22"/>
        </w:rPr>
        <w:t xml:space="preserve">The 1.5x weighted average capacity multiplier reflects these limitations. It is not a 5x or 10x multiplier; it is a 1.5x multiplier weighted across the full service mix. This is enough to make universal access feasible given combined workforce expansion and redistribution, but it is not magic. Telehealth is one tool among several, not a solution by itself.</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“Telehealth doesn't eliminate the workforce constraint. It transforms it from ‘impossible to close in any reasonable timeframe’ to ‘reachable through combined mitigations within 8-12 years.’”</w:t>
            </w:r>
          </w:p>
        </w:tc>
      </w:tr>
    </w:tbl>
    <w:p>
      <w:r>
        <w:br w:type="page"/>
      </w:r>
    </w:p>
    <w:p>
      <w:pPr>
        <w:pStyle w:val="Heading1"/>
        <w:spacing w:after="240" w:before="480"/>
      </w:pPr>
      <w:r>
        <w:rPr>
          <w:rFonts w:ascii="Arial" w:cs="Arial" w:eastAsia="Arial" w:hAnsi="Arial"/>
          <w:b/>
          <w:bCs/>
          <w:color w:val="1F4E78"/>
          <w:sz w:val="36"/>
          <w:szCs w:val="36"/>
        </w:rPr>
        <w:t xml:space="preserve">Geographic Distribution: The Hardest Sub-Problem</w:t>
      </w:r>
    </w:p>
    <w:p>
      <w:pPr>
        <w:spacing w:after="240" w:line="340"/>
        <w:jc w:val="both"/>
      </w:pPr>
      <w:r>
        <w:rPr>
          <w:rFonts w:ascii="Georgia" w:cs="Georgia" w:eastAsia="Georgia" w:hAnsi="Georgia"/>
          <w:color w:val="1A1A1A"/>
          <w:sz w:val="24"/>
          <w:szCs w:val="24"/>
        </w:rPr>
        <w:t xml:space="preserve">Workforce numbers that look adequate in aggregate are severely maldistributed. Mental Health Professional Shortage Areas (HPSAs) cover approximately 30% of the US population, primarily in rural areas and underserved urban neighborhoods. Some counties have zero psychiatrists. Rural and frontier areas have provider densities 4-10x lower than urban areas. Even with full workforce expansion and telehealth integration, geographic access will remain uneven for decades.</w:t>
      </w:r>
    </w:p>
    <w:p>
      <w:pPr>
        <w:spacing w:after="240" w:line="340"/>
        <w:jc w:val="both"/>
      </w:pPr>
      <w:r>
        <w:rPr>
          <w:rFonts w:ascii="Georgia" w:cs="Georgia" w:eastAsia="Georgia" w:hAnsi="Georgia"/>
          <w:color w:val="1A1A1A"/>
          <w:sz w:val="24"/>
          <w:szCs w:val="24"/>
        </w:rPr>
        <w:t xml:space="preserve">Workforce diversity and cultural-competence considerations: the mental health workforce is substantially less racially and ethnically diverse than the general U.S. population. The American Psychological Association's workforce data reports that approximately 80 percent of psychologists are non-Hispanic white versus approximately 60 percent of the U.S. population. Comparable underrepresentation patterns exist in psychiatry (approximately 60 percent non-Hispanic white per AAMC data) and clinical social work (approximately 70 percent non-Hispanic white per NASW data). Hispanic, Black, Asian, and Native American mental health professionals are underrepresented relative to population share; Spanish-language and other language-capable providers are particularly scarce relative to demand. Pillar 6 architectural treatment: the workforce-expansion strategy includes explicit pipeline-investment components targeting underrepresented backgrounds through Pillar 3 (Sovereign Education Fund) priority access for mental health credential programs at Historically Black Colleges and Universities, Hispanic-Serving Institutions, Tribal Colleges and Universities, and Asian-American-Native-American-Pacific-Islander-Serving Institutions; loan-repayment programs weighted toward providers who commit to underserved communities; and language-capability premium in provider-payment-rate structure for verified non-English clinical competence. The diversification objective is both a workforce-expansion lever (drawing on populations that have been structurally excluded from the existing workforce) and a patient-outcomes lever (cultural and linguistic concordance between patient and provider produces measurably better engagement and outcomes in mental health treatment per the published literature).</w:t>
      </w:r>
    </w:p>
    <w:p>
      <w:pPr>
        <w:spacing w:after="240" w:line="340"/>
        <w:jc w:val="both"/>
      </w:pPr>
      <w:r>
        <w:rPr>
          <w:rFonts w:ascii="Georgia" w:cs="Georgia" w:eastAsia="Georgia" w:hAnsi="Georgia"/>
          <w:color w:val="1A1A1A"/>
          <w:sz w:val="24"/>
          <w:szCs w:val="24"/>
        </w:rPr>
        <w:t xml:space="preserve">Cumulative-impact considerations: communities exposed to concentrated environmental, social, and economic stressors (cumulative-impact zones in the environmental-justice literature) experience above-baseline mental health needs that the existing service-distribution does not address. Pillar 6's geographic-distribution treatment focuses on rural-frontier access; the cumulative-impact pattern is frequently urban (low-income communities and communities of color exposed to concentrated environmental pollution, policing-stress, housing-instability, and intergenerational-trauma patterns). Pillar 6 commits to targeted provider-placement and community-mental-health-center investment in cumulative-impact zones identified through the federal CEJST (Climate and Economic Justice Screening Tool) or successor framework, with funding flowing in addition to the universal-access provider-payment-rate stream. The EJ-cumulative-impact component of Pillar 6 is funded within the existing 0.5-percent-employer / 0.3-percent-employee payroll contribution structure; no additional payroll contribution is required. (Workforce diversity and cumulative-impact note added in v3.7.213 via SITE-36 deferred-findings resolution.)</w:t>
      </w:r>
    </w:p>
    <w:p>
      <w:pPr>
        <w:pStyle w:val="Heading2"/>
        <w:spacing w:after="160" w:before="360"/>
      </w:pPr>
      <w:r>
        <w:rPr>
          <w:rFonts w:ascii="Arial" w:cs="Arial" w:eastAsia="Arial" w:hAnsi="Arial"/>
          <w:b/>
          <w:bCs/>
          <w:color w:val="1F4E78"/>
          <w:sz w:val="28"/>
          <w:szCs w:val="28"/>
        </w:rPr>
        <w:t xml:space="preserve">Population and Provider Distribution</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Region</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 of US Pop</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Provider Density</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Pre-Telehealth Gap</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Post-Telehealth Gap</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Urban (large metro)</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High</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Suburban (small metro)</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Medium-High</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Rural (non-metro)</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Low</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Frontier (very rural)</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Very Low</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70%</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w:t>
            </w:r>
          </w:p>
        </w:tc>
      </w:tr>
    </w:tbl>
    <w:p>
      <w:pPr>
        <w:spacing w:after="240"/>
      </w:pPr>
      <w:r>
        <w:t xml:space="preserve"/>
      </w:r>
    </w:p>
    <w:p>
      <w:pPr>
        <w:spacing w:after="200" w:line="320"/>
        <w:jc w:val="both"/>
      </w:pPr>
      <w:r>
        <w:rPr>
          <w:rFonts w:ascii="Georgia" w:cs="Georgia" w:eastAsia="Georgia" w:hAnsi="Georgia"/>
          <w:color w:val="1A1A1A"/>
          <w:sz w:val="22"/>
          <w:szCs w:val="22"/>
        </w:rPr>
        <w:t xml:space="preserve">Telehealth substantially closes the geographic gap but does not eliminate it. The remaining gap in rural areas (20%) and frontier areas (40%) reflects three constraints that telehealth cannot address: broadband access (severely limited in some rural areas), in-person crisis intervention requirements (cannot be done via telehealth), and patient preference (some patients won't engage with telehealth even when available). These remaining gaps require additional mitigations.</w:t>
      </w:r>
    </w:p>
    <w:p>
      <w:pPr>
        <w:pStyle w:val="Heading2"/>
        <w:spacing w:after="160" w:before="360"/>
      </w:pPr>
      <w:r>
        <w:rPr>
          <w:rFonts w:ascii="Arial" w:cs="Arial" w:eastAsia="Arial" w:hAnsi="Arial"/>
          <w:b/>
          <w:bCs/>
          <w:color w:val="1F4E78"/>
          <w:sz w:val="28"/>
          <w:szCs w:val="28"/>
        </w:rPr>
        <w:t xml:space="preserve">Geographic Access Mitigation Strategies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Mitigations beyond telehealth</w:t>
            </w:r>
          </w:p>
          <w:p>
            <w:pPr>
              <w:spacing w:after="100" w:line="280"/>
            </w:pPr>
            <w:r>
              <w:rPr>
                <w:rFonts w:ascii="Georgia" w:cs="Georgia" w:eastAsia="Georgia" w:hAnsi="Georgia"/>
                <w:color w:val="1A1A1A"/>
                <w:sz w:val="21"/>
                <w:szCs w:val="21"/>
              </w:rPr>
              <w:t xml:space="preserve">•  Loan forgiveness for providers serving HPSA areas — expansion of existing National Health Service Corps program with mental-health-specific funding.</w:t>
            </w:r>
          </w:p>
          <w:p>
            <w:pPr>
              <w:spacing w:after="100" w:line="280"/>
            </w:pPr>
            <w:r>
              <w:rPr>
                <w:rFonts w:ascii="Georgia" w:cs="Georgia" w:eastAsia="Georgia" w:hAnsi="Georgia"/>
                <w:color w:val="1A1A1A"/>
                <w:sz w:val="21"/>
                <w:szCs w:val="21"/>
              </w:rPr>
              <w:t xml:space="preserve">•  Compensation premium 25-50% above standard rates for rural and frontier service — creates economic incentive for provider geographic redistribution similar to the healthcare transition plan's specialist redistribution component.</w:t>
            </w:r>
          </w:p>
          <w:p>
            <w:pPr>
              <w:spacing w:after="100" w:line="280"/>
            </w:pPr>
            <w:r>
              <w:rPr>
                <w:rFonts w:ascii="Georgia" w:cs="Georgia" w:eastAsia="Georgia" w:hAnsi="Georgia"/>
                <w:color w:val="1A1A1A"/>
                <w:sz w:val="21"/>
                <w:szCs w:val="21"/>
              </w:rPr>
              <w:t xml:space="preserve">•  Mobile crisis units serving multi-county areas — vans staffed with multidisciplinary teams that can respond to crisis calls across rural counties; reduces dependence on per-county provider availability.</w:t>
            </w:r>
          </w:p>
          <w:p>
            <w:pPr>
              <w:spacing w:after="100" w:line="280"/>
            </w:pPr>
            <w:r>
              <w:rPr>
                <w:rFonts w:ascii="Georgia" w:cs="Georgia" w:eastAsia="Georgia" w:hAnsi="Georgia"/>
                <w:color w:val="1A1A1A"/>
                <w:sz w:val="21"/>
                <w:szCs w:val="21"/>
              </w:rPr>
              <w:t xml:space="preserve">•  Co-located mental health services in primary care offices, school-based health centers, and community health centers — leverages existing rural health infrastructure rather than requiring standalone mental health offices.</w:t>
            </w:r>
          </w:p>
          <w:p>
            <w:pPr>
              <w:spacing w:after="100" w:line="280"/>
            </w:pPr>
            <w:r>
              <w:rPr>
                <w:rFonts w:ascii="Georgia" w:cs="Georgia" w:eastAsia="Georgia" w:hAnsi="Georgia"/>
                <w:color w:val="1A1A1A"/>
                <w:sz w:val="21"/>
                <w:szCs w:val="21"/>
              </w:rPr>
              <w:t xml:space="preserve">•  Community health worker (CHW) programs — trained community members provide screening, case management, and care coordination, particularly in culturally specific contexts (tribal communities, immigrant populations, rural communities with strong local identity).</w:t>
            </w:r>
          </w:p>
          <w:p>
            <w:pPr>
              <w:spacing w:after="100" w:line="280"/>
            </w:pPr>
            <w:r>
              <w:rPr>
                <w:rFonts w:ascii="Georgia" w:cs="Georgia" w:eastAsia="Georgia" w:hAnsi="Georgia"/>
                <w:color w:val="1A1A1A"/>
                <w:sz w:val="21"/>
                <w:szCs w:val="21"/>
              </w:rPr>
              <w:t xml:space="preserve">•  Tribal mental health authority funding — Native American populations face the most severe access shortfalls and benefit from tribally-led programs with sovereignty protections.</w:t>
            </w:r>
          </w:p>
          <w:p>
            <w:pPr>
              <w:spacing w:after="100" w:line="280"/>
            </w:pPr>
            <w:r>
              <w:rPr>
                <w:rFonts w:ascii="Georgia" w:cs="Georgia" w:eastAsia="Georgia" w:hAnsi="Georgia"/>
                <w:color w:val="1A1A1A"/>
                <w:sz w:val="21"/>
                <w:szCs w:val="21"/>
              </w:rPr>
              <w:t>•  Broadband infrastructure investment — prerequisite for telehealth-based access; the platform's Civic Infrastructure pillar must include this.</w:t>
            </w:r>
          </w:p>
        </w:tc>
      </w:tr>
    </w:tbl>
    <w:p>
      <w:pPr>
        <w:pStyle w:val="Heading2"/>
        <w:spacing w:after="160" w:before="360"/>
      </w:pPr>
      <w:r>
        <w:rPr>
          <w:rFonts w:ascii="Arial" w:cs="Arial" w:eastAsia="Arial" w:hAnsi="Arial"/>
          <w:b/>
          <w:bCs/>
          <w:color w:val="1F4E78"/>
          <w:sz w:val="28"/>
          <w:szCs w:val="28"/>
        </w:rPr>
        <w:t xml:space="preserve">Honest Acknowledgment</w:t>
      </w:r>
    </w:p>
    <w:p>
      <w:pPr>
        <w:spacing w:after="200" w:line="320"/>
        <w:jc w:val="both"/>
      </w:pPr>
      <w:r>
        <w:rPr>
          <w:rFonts w:ascii="Georgia" w:cs="Georgia" w:eastAsia="Georgia" w:hAnsi="Georgia"/>
          <w:color w:val="1A1A1A"/>
          <w:sz w:val="22"/>
          <w:szCs w:val="22"/>
        </w:rPr>
        <w:t xml:space="preserve">Geographic access is the hardest sub-problem in mental health. Even with full universal access funding, telehealth integration, workforce expansion, HPSA-targeted incentives, and the mitigation strategies above, frontier and remote rural areas will still have access gaps after 20+ years. The platform's commitment is substantial improvement — closing 60-80% of the access gap — rather than complete elimination. For genuinely remote populations (some Native American reservations, very rural Mountain West, parts of Alaska), mobile services and tribal/community-led programs are the realistic path to access. These populations deserve the same quality care as urban populations; the platform commits to substantially closing the gap while honestly acknowledging that geography imposes real constraints that no policy design can fully eliminate.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“Workforce numbers that look adequate in aggregate are severely maldistributed. Universal access requires not just enough providers but providers in the right places, which neither training pipeline expansion nor telehealth integration alone can fully achieve.”</w:t>
            </w:r>
          </w:p>
        </w:tc>
      </w:tr>
    </w:tbl>
    <w:p>
      <w:r>
        <w:br w:type="page"/>
      </w:r>
    </w:p>
    <w:p>
      <w:pPr>
        <w:pStyle w:val="Heading1"/>
        <w:spacing w:after="240" w:before="480"/>
      </w:pPr>
      <w:r>
        <w:rPr>
          <w:rFonts w:ascii="Arial" w:cs="Arial" w:eastAsia="Arial" w:hAnsi="Arial"/>
          <w:b/>
          <w:bCs/>
          <w:color w:val="1F4E78"/>
          <w:sz w:val="36"/>
          <w:szCs w:val="36"/>
        </w:rPr>
        <w:t xml:space="preserve">Parity Enforcement: Why the Existing Law Isn't Enough</w:t>
      </w:r>
    </w:p>
    <w:p>
      <w:pPr>
        <w:spacing w:after="240" w:line="340"/>
        <w:jc w:val="both"/>
      </w:pPr>
      <w:r>
        <w:rPr>
          <w:rFonts w:ascii="Georgia" w:cs="Georgia" w:eastAsia="Georgia" w:hAnsi="Georgia"/>
          <w:color w:val="1A1A1A"/>
          <w:sz w:val="24"/>
          <w:szCs w:val="24"/>
        </w:rPr>
        <w:t xml:space="preserve">The Mental Health Parity and Addiction Equity Act of 2008 (MHPAEA) requires that group health plans and health insurance issuers offering mental health and substance use disorder benefits provide them on terms equivalent to medical/surgical benefits. Sixteen years later, parity is still not effectively enforced. The gap between law on the books and actual practice illustrates why the platform's universal access architecture cannot rely on existing parity law alone.</w:t>
      </w:r>
    </w:p>
    <w:p>
      <w:pPr>
        <w:spacing w:after="240" w:line="340"/>
        <w:jc w:val="both"/>
      </w:pPr>
      <w:r>
        <w:rPr>
          <w:rFonts w:ascii="Georgia" w:cs="Georgia" w:eastAsia="Georgia" w:hAnsi="Georgia"/>
          <w:color w:val="1A1A1A"/>
          <w:sz w:val="24"/>
          <w:szCs w:val="24"/>
        </w:rPr>
        <w:t>Substance use disorder treatment scope: the Mental Health Parity and Addiction Equity Act includes SUD on the same terms as mental health, and the Universal Mental Health Access pillar follows the same convention. SUD treatment in this architecture covers screening and brief intervention in primary care, outpatient counseling, medication-assisted treatment (buprenorphine, methadone, naltrexone, and equivalent therapeutic regimens), intensive outpatient programs, residential treatment, and inpatient detoxification under the relevant service categories already enumerated. Specialty SUD-trained workforce (addiction medicine physicians, certified addiction counselors, peer recovery specialists) is treated as a workforce sub-segment within the broader mental-health workforce planning rather than a separate category — the platform's architectural commitment is that SUD and mental-health services are administered through one universal-access funding stream, not bifurcated. Specific SUD-population design (such as the integration with Medication-Assisted Treatment expansion under recent HHS rule changes) is identified as requiring SUD-clinical-policy expertise; see the Tracked Issues Registry. (SUD scope note added in v3.7.201 via SITE-36 Pillar 6 review.)</w:t>
      </w:r>
    </w:p>
    <w:p>
      <w:pPr>
        <w:pStyle w:val="Heading2"/>
        <w:spacing w:after="160" w:before="360"/>
      </w:pPr>
      <w:r>
        <w:rPr>
          <w:rFonts w:ascii="Arial" w:cs="Arial" w:eastAsia="Arial" w:hAnsi="Arial"/>
          <w:b/>
          <w:bCs/>
          <w:color w:val="1F4E78"/>
          <w:sz w:val="28"/>
          <w:szCs w:val="28"/>
        </w:rPr>
        <w:t xml:space="preserve">How Current Parity Enforcement Fails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Where MHPAEA falls short in practice</w:t>
            </w:r>
          </w:p>
          <w:p>
            <w:pPr>
              <w:spacing w:after="100" w:line="280"/>
            </w:pPr>
            <w:r>
              <w:rPr>
                <w:rFonts w:ascii="Georgia" w:cs="Georgia" w:eastAsia="Georgia" w:hAnsi="Georgia"/>
                <w:color w:val="1A1A1A"/>
                <w:sz w:val="21"/>
                <w:szCs w:val="21"/>
              </w:rPr>
              <w:t xml:space="preserve">•  Network adequacy: insurers maintain narrower mental health provider networks than medical/surgical networks, with longer wait times and fewer accepting new patients. The law requires equivalent terms but doesn't specify enforceable network adequacy standards.</w:t>
            </w:r>
          </w:p>
          <w:p>
            <w:pPr>
              <w:spacing w:after="100" w:line="280"/>
            </w:pPr>
            <w:r>
              <w:rPr>
                <w:rFonts w:ascii="Georgia" w:cs="Georgia" w:eastAsia="Georgia" w:hAnsi="Georgia"/>
                <w:color w:val="1A1A1A"/>
                <w:sz w:val="21"/>
                <w:szCs w:val="21"/>
              </w:rPr>
              <w:t xml:space="preserve">•  Reimbursement rates: mental health providers receive lower reimbursement rates than medical specialists for comparable cognitive work, leading providers to refuse insurance contracts and operate cash-only. Patients face nominal coverage that's effectively unusable.</w:t>
            </w:r>
          </w:p>
          <w:p>
            <w:pPr>
              <w:spacing w:after="100" w:line="280"/>
            </w:pPr>
            <w:r>
              <w:rPr>
                <w:rFonts w:ascii="Georgia" w:cs="Georgia" w:eastAsia="Georgia" w:hAnsi="Georgia"/>
                <w:color w:val="1A1A1A"/>
                <w:sz w:val="21"/>
                <w:szCs w:val="21"/>
              </w:rPr>
              <w:t xml:space="preserve">•  Prior authorization burden: mental health services face more frequent prior authorization requirements than medical/surgical services, creating administrative friction that effectively reduces utilization.</w:t>
            </w:r>
          </w:p>
          <w:p>
            <w:pPr>
              <w:spacing w:after="100" w:line="280"/>
            </w:pPr>
            <w:r>
              <w:rPr>
                <w:rFonts w:ascii="Georgia" w:cs="Georgia" w:eastAsia="Georgia" w:hAnsi="Georgia"/>
                <w:color w:val="1A1A1A"/>
                <w:sz w:val="21"/>
                <w:szCs w:val="21"/>
              </w:rPr>
              <w:t xml:space="preserve">•  Step therapy requirements: insurers often require trying lower-cost interventions before authorizing higher-cost ones, which can be appropriate clinically but is sometimes applied in ways that create barriers without clinical justification.</w:t>
            </w:r>
          </w:p>
          <w:p>
            <w:pPr>
              <w:spacing w:after="100" w:line="280"/>
            </w:pPr>
            <w:r>
              <w:rPr>
                <w:rFonts w:ascii="Georgia" w:cs="Georgia" w:eastAsia="Georgia" w:hAnsi="Georgia"/>
                <w:color w:val="1A1A1A"/>
                <w:sz w:val="21"/>
                <w:szCs w:val="21"/>
              </w:rPr>
              <w:t xml:space="preserve">•  Documentation burden on providers: mental health visits require extensive documentation that medical/surgical visits don't, creating administrative tax on providers that reduces visit availability.</w:t>
            </w:r>
          </w:p>
          <w:p>
            <w:pPr>
              <w:spacing w:after="100" w:line="280"/>
            </w:pPr>
            <w:r>
              <w:rPr>
                <w:rFonts w:ascii="Georgia" w:cs="Georgia" w:eastAsia="Georgia" w:hAnsi="Georgia"/>
                <w:color w:val="1A1A1A"/>
                <w:sz w:val="21"/>
                <w:szCs w:val="21"/>
              </w:rPr>
              <w:t xml:space="preserve">•  Limited federal enforcement capacity: the Department of Labor and HHS have limited examiners to investigate parity violations, and remedies for found violations are weak (typically requiring future compliance rather than retroactive remediation).</w:t>
            </w:r>
          </w:p>
          <w:p>
            <w:pPr>
              <w:spacing w:after="100" w:line="280"/>
            </w:pPr>
            <w:r>
              <w:rPr>
                <w:rFonts w:ascii="Georgia" w:cs="Georgia" w:eastAsia="Georgia" w:hAnsi="Georgia"/>
                <w:color w:val="1A1A1A"/>
                <w:sz w:val="21"/>
                <w:szCs w:val="21"/>
              </w:rPr>
              <w:t xml:space="preserve">•  State-level variation: states have varying parity laws and enforcement capacity, creating geographic inequity in actual coverage even where federal law applies.</w:t>
            </w:r>
          </w:p>
        </w:tc>
      </w:tr>
    </w:tbl>
    <w:p>
      <w:pPr>
        <w:pStyle w:val="Heading2"/>
        <w:spacing w:after="160" w:before="360"/>
      </w:pPr>
      <w:r>
        <w:rPr>
          <w:rFonts w:ascii="Arial" w:cs="Arial" w:eastAsia="Arial" w:hAnsi="Arial"/>
          <w:b/>
          <w:bCs/>
          <w:color w:val="1F4E78"/>
          <w:sz w:val="28"/>
          <w:szCs w:val="28"/>
        </w:rPr>
        <w:t xml:space="preserve">What Real Parity Enforcement Requires</w:t>
      </w:r>
    </w:p>
    <w:p>
      <w:pPr>
        <w:spacing w:after="200" w:line="320"/>
        <w:jc w:val="both"/>
      </w:pPr>
      <w:r>
        <w:rPr>
          <w:rFonts w:ascii="Georgia" w:cs="Georgia" w:eastAsia="Georgia" w:hAnsi="Georgia"/>
          <w:color w:val="1A1A1A"/>
          <w:sz w:val="22"/>
          <w:szCs w:val="22"/>
        </w:rPr>
        <w:t xml:space="preserve">Universal mental health access through the platform's payroll-funded mechanism partially sidesteps parity enforcement issues by establishing a single-payer-style funding stream where parity is structurally built in rather than requiring enforcement against private insurers. But the existing private insurance market continues to exist for non-platform-eligible services and for the population still using employer-sponsored insurance during transition years. Real parity enforcement is needed for that market.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Components of effective parity enforcement</w:t>
            </w:r>
          </w:p>
          <w:p>
            <w:pPr>
              <w:spacing w:after="100" w:line="280"/>
            </w:pPr>
            <w:r>
              <w:rPr>
                <w:rFonts w:ascii="Georgia" w:cs="Georgia" w:eastAsia="Georgia" w:hAnsi="Georgia"/>
                <w:color w:val="1A1A1A"/>
                <w:sz w:val="21"/>
                <w:szCs w:val="21"/>
              </w:rPr>
              <w:t xml:space="preserve">•  Network adequacy standards with quantitative metrics: maximum wait times for new patient appointments, minimum provider density per insured population, specific requirements for psychiatrists vs therapists vs PMHNPs.</w:t>
            </w:r>
          </w:p>
          <w:p>
            <w:pPr>
              <w:spacing w:after="100" w:line="280"/>
            </w:pPr>
            <w:r>
              <w:rPr>
                <w:rFonts w:ascii="Georgia" w:cs="Georgia" w:eastAsia="Georgia" w:hAnsi="Georgia"/>
                <w:color w:val="1A1A1A"/>
                <w:sz w:val="21"/>
                <w:szCs w:val="21"/>
              </w:rPr>
              <w:t xml:space="preserve">•  Reimbursement rate parity audits: insurance plans must demonstrate that mental health reimbursement rates are equivalent to medical/surgical rates for comparable cognitive work (CPT code-based comparison).</w:t>
            </w:r>
          </w:p>
          <w:p>
            <w:pPr>
              <w:spacing w:after="100" w:line="280"/>
            </w:pPr>
            <w:r>
              <w:rPr>
                <w:rFonts w:ascii="Georgia" w:cs="Georgia" w:eastAsia="Georgia" w:hAnsi="Georgia"/>
                <w:color w:val="1A1A1A"/>
                <w:sz w:val="21"/>
                <w:szCs w:val="21"/>
              </w:rPr>
              <w:t xml:space="preserve">•  Prior authorization audits: insurers required to demonstrate that prior authorization frequency and approval rates are equivalent across mental health and medical/surgical services.</w:t>
            </w:r>
          </w:p>
          <w:p>
            <w:pPr>
              <w:spacing w:after="100" w:line="280"/>
            </w:pPr>
            <w:r>
              <w:rPr>
                <w:rFonts w:ascii="Georgia" w:cs="Georgia" w:eastAsia="Georgia" w:hAnsi="Georgia"/>
                <w:color w:val="1A1A1A"/>
                <w:sz w:val="21"/>
                <w:szCs w:val="21"/>
              </w:rPr>
              <w:t xml:space="preserve">•  Penalties with teeth: violations result in financial penalties (rather than just future compliance requirements) and possible loss of state insurance license for repeated violations.</w:t>
            </w:r>
          </w:p>
          <w:p>
            <w:pPr>
              <w:spacing w:after="100" w:line="280"/>
            </w:pPr>
            <w:r>
              <w:rPr>
                <w:rFonts w:ascii="Georgia" w:cs="Georgia" w:eastAsia="Georgia" w:hAnsi="Georgia"/>
                <w:color w:val="1A1A1A"/>
                <w:sz w:val="21"/>
                <w:szCs w:val="21"/>
              </w:rPr>
              <w:t xml:space="preserve">•  Patient private right of action: individuals harmed by parity violations can sue insurers directly, expanding enforcement capacity beyond government agencies.</w:t>
            </w:r>
          </w:p>
          <w:p>
            <w:pPr>
              <w:spacing w:after="100" w:line="280"/>
            </w:pPr>
            <w:r>
              <w:rPr>
                <w:rFonts w:ascii="Georgia" w:cs="Georgia" w:eastAsia="Georgia" w:hAnsi="Georgia"/>
                <w:color w:val="1A1A1A"/>
                <w:sz w:val="21"/>
                <w:szCs w:val="21"/>
              </w:rPr>
              <w:t xml:space="preserve">•  Network transparency requirements: insurers must publish provider directories that are accurate (current data shows ghost networks where listed providers don't accept new patients), with penalties for inaccurate listings.</w:t>
            </w:r>
          </w:p>
          <w:p>
            <w:pPr>
              <w:spacing w:after="100" w:line="280"/>
            </w:pPr>
            <w:r>
              <w:rPr>
                <w:rFonts w:ascii="Georgia" w:cs="Georgia" w:eastAsia="Georgia" w:hAnsi="Georgia"/>
                <w:color w:val="1A1A1A"/>
                <w:sz w:val="21"/>
                <w:szCs w:val="21"/>
              </w:rPr>
              <w:t xml:space="preserve">•  Federal-state coordination: clear delineation of federal vs state enforcement roles, with backstop federal authority when state enforcement is inadequate.</w:t>
            </w:r>
          </w:p>
        </w:tc>
      </w:tr>
    </w:tbl>
    <w:p>
      <w:pPr>
        <w:pStyle w:val="Heading2"/>
        <w:spacing w:after="160" w:before="360"/>
      </w:pPr>
      <w:r>
        <w:rPr>
          <w:rFonts w:ascii="Arial" w:cs="Arial" w:eastAsia="Arial" w:hAnsi="Arial"/>
          <w:b/>
          <w:bCs/>
          <w:color w:val="1F4E78"/>
          <w:sz w:val="28"/>
          <w:szCs w:val="28"/>
        </w:rPr>
        <w:t xml:space="preserve">How the Platform Architecture Reduces Parity Dependency</w:t>
      </w:r>
    </w:p>
    <w:p>
      <w:pPr>
        <w:spacing w:after="200" w:line="320"/>
        <w:jc w:val="both"/>
      </w:pPr>
      <w:r>
        <w:rPr>
          <w:rFonts w:ascii="Georgia" w:cs="Georgia" w:eastAsia="Georgia" w:hAnsi="Georgia"/>
          <w:color w:val="1A1A1A"/>
          <w:sz w:val="22"/>
          <w:szCs w:val="22"/>
        </w:rPr>
        <w:t xml:space="preserve">The platform's universal access funding mechanism (0.5% employer + 0.3% employee payroll = about $106B annually [RESTATED v3.8.376] from ~$104B, combined with continued $104B existing federal spending) provides sufficient funding to make mental health services available to all Americans regardless of insurance status. This means individuals without adequate insurance, with parity-violating insurance, or with inability to navigate insurance authorization processes still have access. The architecture reduces but does not eliminate the importance of parity enforcement — private insurance still serves a substantial population, particularly during transition years — but it provides a backstop that current parity law alone cannot.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“Parity law has existed for 16 years and is still not adequately enforced. The platform's architecture provides universal access funding directly, reducing dependency on private insurance parity — but real parity enforcement remains necessary for the substantial population using private insurance for mental health.”</w:t>
            </w:r>
          </w:p>
        </w:tc>
      </w:tr>
    </w:tbl>
    <w:p>
      <w:r>
        <w:br w:type="page"/>
      </w:r>
    </w:p>
    <w:p>
      <w:pPr>
        <w:pStyle w:val="Heading1"/>
        <w:spacing w:after="240" w:before="480"/>
      </w:pPr>
      <w:r>
        <w:rPr>
          <w:rFonts w:ascii="Arial" w:cs="Arial" w:eastAsia="Arial" w:hAnsi="Arial"/>
          <w:b/>
          <w:bCs/>
          <w:color w:val="1F4E78"/>
          <w:sz w:val="36"/>
          <w:szCs w:val="36"/>
        </w:rPr>
        <w:t xml:space="preserve">Collaborative Care: Integration with Primary Care</w:t>
      </w:r>
    </w:p>
    <w:p>
      <w:pPr>
        <w:spacing w:after="240" w:line="340"/>
        <w:jc w:val="both"/>
      </w:pPr>
      <w:r>
        <w:rPr>
          <w:rFonts w:ascii="Georgia" w:cs="Georgia" w:eastAsia="Georgia" w:hAnsi="Georgia"/>
          <w:color w:val="1A1A1A"/>
          <w:sz w:val="24"/>
          <w:szCs w:val="24"/>
        </w:rPr>
        <w:t xml:space="preserve">Approximately 70% of patients with mental health conditions are seen in primary care rather than mental health specialty settings. The collaborative care model leverages this reality: rather than treating primary care as a barrier to specialty mental health access, it treats primary care as the largest mental health workforce in the country, with specialty support extending its reach. Implemented well, collaborative care substantially extends mental health capacity and improves access in geographic and demographic areas where specialty services are scarce.</w:t>
      </w:r>
    </w:p>
    <w:p>
      <w:pPr>
        <w:pStyle w:val="Heading2"/>
        <w:spacing w:after="160" w:before="360"/>
      </w:pPr>
      <w:r>
        <w:rPr>
          <w:rFonts w:ascii="Arial" w:cs="Arial" w:eastAsia="Arial" w:hAnsi="Arial"/>
          <w:b/>
          <w:bCs/>
          <w:color w:val="1F4E78"/>
          <w:sz w:val="28"/>
          <w:szCs w:val="28"/>
        </w:rPr>
        <w:t xml:space="preserve">How Collaborative Care Works</w:t>
      </w:r>
    </w:p>
    <w:p>
      <w:pPr>
        <w:spacing w:after="200" w:line="320"/>
        <w:jc w:val="both"/>
      </w:pPr>
      <w:r>
        <w:rPr>
          <w:rFonts w:ascii="Georgia" w:cs="Georgia" w:eastAsia="Georgia" w:hAnsi="Georgia"/>
          <w:color w:val="1A1A1A"/>
          <w:sz w:val="22"/>
          <w:szCs w:val="22"/>
        </w:rPr>
        <w:t xml:space="preserve">The University of Washington's Advancing Integrated Mental Health Solutions (AIMS) Center has documented the collaborative care model extensively. The model has four components. First, a primary care provider screens patients for mental health concerns and provides initial diagnosis and treatment for common conditions (depression, anxiety, ADHD). Second, a behavioral health care manager (often a nurse, social worker, or licensed counselor) embedded in the primary care practice provides brief therapy, care coordination, and follow-up between primary care visits. Third, a psychiatric consultant (psychiatrist or PMHNP) provides indirect consultation — reviewing case loads, suggesting treatment adjustments, advising on medication choices — without typically seeing patients directly. Fourth, measurement-based care uses validated screening instruments (PHQ-9 for depression, GAD-7 for anxiety) at baseline and follow-up to track outcomes systematically.</w:t>
      </w:r>
    </w:p>
    <w:p>
      <w:pPr>
        <w:pStyle w:val="Heading2"/>
        <w:spacing w:after="160" w:before="360"/>
      </w:pPr>
      <w:r>
        <w:rPr>
          <w:rFonts w:ascii="Arial" w:cs="Arial" w:eastAsia="Arial" w:hAnsi="Arial"/>
          <w:b/>
          <w:bCs/>
          <w:color w:val="1F4E78"/>
          <w:sz w:val="28"/>
          <w:szCs w:val="28"/>
        </w:rPr>
        <w:t xml:space="preserve">Why Collaborative Care Matters for Universal Access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Capacity advantages of collaborative care</w:t>
            </w:r>
          </w:p>
          <w:p>
            <w:pPr>
              <w:spacing w:after="100" w:line="280"/>
            </w:pPr>
            <w:r>
              <w:rPr>
                <w:rFonts w:ascii="Georgia" w:cs="Georgia" w:eastAsia="Georgia" w:hAnsi="Georgia"/>
                <w:color w:val="1A1A1A"/>
                <w:sz w:val="21"/>
                <w:szCs w:val="21"/>
              </w:rPr>
              <w:t xml:space="preserve">•  One psychiatric consultant can support 15-25 primary care providers through indirect consultation, dramatically multiplying psychiatric expertise reach.</w:t>
            </w:r>
          </w:p>
          <w:p>
            <w:pPr>
              <w:spacing w:after="100" w:line="280"/>
            </w:pPr>
            <w:r>
              <w:rPr>
                <w:rFonts w:ascii="Georgia" w:cs="Georgia" w:eastAsia="Georgia" w:hAnsi="Georgia"/>
                <w:color w:val="1A1A1A"/>
                <w:sz w:val="21"/>
                <w:szCs w:val="21"/>
              </w:rPr>
              <w:t xml:space="preserve">•  Most mild-to-moderate depression and anxiety can be effectively treated in primary care with appropriate support, reducing demand for specialty referrals.</w:t>
            </w:r>
          </w:p>
          <w:p>
            <w:pPr>
              <w:spacing w:after="100" w:line="280"/>
            </w:pPr>
            <w:r>
              <w:rPr>
                <w:rFonts w:ascii="Georgia" w:cs="Georgia" w:eastAsia="Georgia" w:hAnsi="Georgia"/>
                <w:color w:val="1A1A1A"/>
                <w:sz w:val="21"/>
                <w:szCs w:val="21"/>
              </w:rPr>
              <w:t xml:space="preserve">•  Patients receive treatment in familiar settings without the stigma some associate with specialty mental health facilities.</w:t>
            </w:r>
          </w:p>
          <w:p>
            <w:pPr>
              <w:spacing w:after="100" w:line="280"/>
            </w:pPr>
            <w:r>
              <w:rPr>
                <w:rFonts w:ascii="Georgia" w:cs="Georgia" w:eastAsia="Georgia" w:hAnsi="Georgia"/>
                <w:color w:val="1A1A1A"/>
                <w:sz w:val="21"/>
                <w:szCs w:val="21"/>
              </w:rPr>
              <w:t xml:space="preserve">•  Geographic access expands because primary care infrastructure exists in areas where specialty mental health services are scarce.</w:t>
            </w:r>
          </w:p>
          <w:p>
            <w:pPr>
              <w:spacing w:after="100" w:line="280"/>
            </w:pPr>
            <w:r>
              <w:rPr>
                <w:rFonts w:ascii="Georgia" w:cs="Georgia" w:eastAsia="Georgia" w:hAnsi="Georgia"/>
                <w:color w:val="1A1A1A"/>
                <w:sz w:val="21"/>
                <w:szCs w:val="21"/>
              </w:rPr>
              <w:t xml:space="preserve">•  Cultural and linguistic competency is often better in primary care relationships, particularly for populations whose primary care provider matches their cultural background.</w:t>
            </w:r>
          </w:p>
          <w:p>
            <w:pPr>
              <w:spacing w:after="100" w:line="280"/>
            </w:pPr>
            <w:r>
              <w:rPr>
                <w:rFonts w:ascii="Georgia" w:cs="Georgia" w:eastAsia="Georgia" w:hAnsi="Georgia"/>
                <w:color w:val="1A1A1A"/>
                <w:sz w:val="21"/>
                <w:szCs w:val="21"/>
              </w:rPr>
              <w:t xml:space="preserve">•  Care coordination reduces fragmentation between physical and mental health treatment, particularly important for patients with chronic conditions.</w:t>
            </w:r>
          </w:p>
          <w:p>
            <w:pPr>
              <w:spacing w:after="100" w:line="280"/>
            </w:pPr>
            <w:r>
              <w:rPr>
                <w:rFonts w:ascii="Georgia" w:cs="Georgia" w:eastAsia="Georgia" w:hAnsi="Georgia"/>
                <w:color w:val="1A1A1A"/>
                <w:sz w:val="21"/>
                <w:szCs w:val="21"/>
              </w:rPr>
              <w:t xml:space="preserve">•  Cost is lower than specialty referral models for common conditions, though more intensive cases still require specialty care.</w:t>
            </w:r>
          </w:p>
        </w:tc>
      </w:tr>
    </w:tbl>
    <w:p>
      <w:pPr>
        <w:pStyle w:val="Heading2"/>
        <w:spacing w:after="160" w:before="360"/>
      </w:pPr>
      <w:r>
        <w:rPr>
          <w:rFonts w:ascii="Arial" w:cs="Arial" w:eastAsia="Arial" w:hAnsi="Arial"/>
          <w:b/>
          <w:bCs/>
          <w:color w:val="1F4E78"/>
          <w:sz w:val="28"/>
          <w:szCs w:val="28"/>
        </w:rPr>
        <w:t xml:space="preserve">Implementation Requirements</w:t>
      </w:r>
    </w:p>
    <w:p>
      <w:pPr>
        <w:spacing w:after="200" w:line="320"/>
        <w:jc w:val="both"/>
      </w:pPr>
      <w:r>
        <w:rPr>
          <w:rFonts w:ascii="Georgia" w:cs="Georgia" w:eastAsia="Georgia" w:hAnsi="Georgia"/>
          <w:color w:val="1A1A1A"/>
          <w:sz w:val="22"/>
          <w:szCs w:val="22"/>
        </w:rPr>
        <w:t>Collaborative care implementation requires several components beyond simply asserting that it should happen. Reimbursement structure must support the model: CMS (Centers for Medicare and Medicaid Services) introduced collaborative care management codes (CPT 99492-99494, G2214) but adoption has been slow due to administrative complexity. Streamlined billing and adequate reimbursement rates accelerate adoption. Workforce training matters: primary care providers need training in mental health diagnosis and treatment beyond what most medical schools currently provide. Care managers need specific training in collaborative care competencies. Psychiatric consultants need training in consultation models that differ from direct patient care.</w:t>
      </w:r>
    </w:p>
    <w:p>
      <w:pPr>
        <w:spacing w:after="200" w:line="320"/>
        <w:jc w:val="both"/>
      </w:pPr>
      <w:r>
        <w:rPr>
          <w:rFonts w:ascii="Georgia" w:cs="Georgia" w:eastAsia="Georgia" w:hAnsi="Georgia"/>
          <w:color w:val="1A1A1A"/>
          <w:sz w:val="22"/>
          <w:szCs w:val="22"/>
        </w:rPr>
        <w:t xml:space="preserve">Measurement-based care requires EHR integration so screening tools, outcomes tracking, and consultant reviews flow through normal clinical workflows rather than requiring separate documentation systems. Practice transformation support helps practices restructure workflow to accommodate care managers and consultation processes. The platform's universal access funding mechanism can incorporate enhanced reimbursement for collaborative care services, creating economic alignment that makes implementation sustainable.</w:t>
      </w:r>
    </w:p>
    <w:p>
      <w:pPr>
        <w:pStyle w:val="Heading2"/>
        <w:spacing w:after="160" w:before="360"/>
      </w:pPr>
      <w:r>
        <w:rPr>
          <w:rFonts w:ascii="Arial" w:cs="Arial" w:eastAsia="Arial" w:hAnsi="Arial"/>
          <w:b/>
          <w:bCs/>
          <w:color w:val="1F4E78"/>
          <w:sz w:val="28"/>
          <w:szCs w:val="28"/>
        </w:rPr>
        <w:t xml:space="preserve">Capacity Impact</w:t>
      </w:r>
    </w:p>
    <w:p>
      <w:pPr>
        <w:spacing w:after="200" w:line="320"/>
        <w:jc w:val="both"/>
      </w:pPr>
      <w:r>
        <w:rPr>
          <w:rFonts w:ascii="Georgia" w:cs="Georgia" w:eastAsia="Georgia" w:hAnsi="Georgia"/>
          <w:color w:val="1A1A1A"/>
          <w:sz w:val="22"/>
          <w:szCs w:val="22"/>
        </w:rPr>
        <w:t xml:space="preserve">Effective collaborative care implementation could shift approximately 40-50% of mental health care delivery into primary care settings. For a universal-access system serving 104M users annually, this would mean approximately 45-55M users receiving primary mental health care in primary care settings rather than specialty mental health settings. The remaining 50-60M users continue to need specialty services for conditions beyond primary care scope (severe mental illness, complex psychiatric medication regimens, intensive therapy for trauma or personality disorders, crisis intervention, IOP, inpatient care).</w:t>
      </w:r>
    </w:p>
    <w:p>
      <w:pPr>
        <w:spacing w:after="200" w:line="320"/>
        <w:jc w:val="both"/>
      </w:pPr>
      <w:r>
        <w:rPr>
          <w:rFonts w:ascii="Georgia" w:cs="Georgia" w:eastAsia="Georgia" w:hAnsi="Georgia"/>
          <w:color w:val="1A1A1A"/>
          <w:sz w:val="22"/>
          <w:szCs w:val="22"/>
        </w:rPr>
        <w:t>This shift dramatically eases the workforce constraint. Specialty mental health providers (psychiatrists, psychologists, LCSWs, LPCs in clinical specialty roles) become focused on the cases that genuinely need their expertise rather than serving as the only available mental health providers for everything from situational anxiety to severe schizophrenia. Combined with telehealth integration and PMHNP expansion, collaborative care brings Universal Mental Health access within operational reach.</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“Collaborative care doesn't reduce the value of specialty mental health services. It ensures specialty providers focus on cases that genuinely need their expertise, while the much larger primary care workforce handles the substantial majority of mental health needs that don't require specialty intervention.”</w:t>
            </w:r>
          </w:p>
        </w:tc>
      </w:tr>
    </w:tbl>
    <w:p>
      <w:r>
        <w:br w:type="page"/>
      </w:r>
    </w:p>
    <w:p>
      <w:pPr>
        <w:pStyle w:val="Heading1"/>
        <w:spacing w:after="240" w:before="480"/>
      </w:pPr>
      <w:r>
        <w:rPr>
          <w:rFonts w:ascii="Arial" w:cs="Arial" w:eastAsia="Arial" w:hAnsi="Arial"/>
          <w:b/>
          <w:bCs/>
          <w:color w:val="1F4E78"/>
          <w:sz w:val="36"/>
          <w:szCs w:val="36"/>
        </w:rPr>
        <w:t xml:space="preserve">Stress Tests and Mitigations</w:t>
      </w:r>
    </w:p>
    <w:p>
      <w:pPr>
        <w:spacing w:after="240" w:line="340"/>
        <w:jc w:val="both"/>
      </w:pPr>
      <w:r>
        <w:rPr>
          <w:rFonts w:ascii="Georgia" w:cs="Georgia" w:eastAsia="Georgia" w:hAnsi="Georgia"/>
          <w:color w:val="1A1A1A"/>
          <w:sz w:val="24"/>
          <w:szCs w:val="24"/>
        </w:rPr>
        <w:t xml:space="preserve">Following the v2.0 stress-testing pattern from the Combined Reform Model, the substantiated mental health model includes stress-test scenarios for the key adverse conditions that could compromise the architecture. This section articulates the scenarios, the model's verdict on each, and the mitigations that would apply if the scenario materialized.</w:t>
      </w:r>
    </w:p>
    <w:p>
      <w:pPr>
        <w:spacing w:after="240" w:line="340"/>
        <w:jc w:val="both"/>
      </w:pPr>
      <w:r>
        <w:rPr>
          <w:rFonts w:ascii="Georgia" w:cs="Georgia" w:eastAsia="Georgia" w:hAnsi="Georgia"/>
          <w:color w:val="1A1A1A"/>
          <w:sz w:val="24"/>
          <w:szCs w:val="24"/>
        </w:rPr>
        <w:t xml:space="preserve">Crisis services architecture (988 and mobile crisis response integration): the Universal Mental Health Access pillar includes an explicit crisis services component covering the 988 Suicide and Crisis Lifeline, mobile crisis response teams, crisis stabilization centers, and the crisis-specialized clinical workforce. The 988 lifeline, operational since July 2022, currently receives approximately 5 to 6 million contacts annually (calls, texts, and chats combined), with answer rates varying substantially by state and time of day. Pillar Six commits to federal investment that brings nationwide 988 answer rates above 95 percent (currently approximately 85-90 percent in well-funded states; lower in underfunded states), reduces average answer wait time below 20 seconds, and ensures every 988 contact has access to follow-up services within 24 hours when clinically indicated. Mobile crisis response teams: Pillar Six funds the expansion of mobile crisis response infrastructure to nationwide coverage. Mobile crisis teams (typically two-person teams comprising a licensed mental health clinician and a peer support specialist) respond to mental health crises in the community as an alternative to law enforcement first response. Current US capacity is approximately 1,500 mobile crisis teams covering roughly 25 percent of the population with 24/7 service; Pillar Six commits to expansion to approximately 6,000 teams covering 95 percent of the population with 24/7 service within 8-10 years. Crisis stabilization centers: Pillar Six commits to buildout of crisis stabilization centers (also called psychiatric urgent care centers, crisis receiving and stabilization facilities, or 23-hour observation units) as an alternative to emergency-department boarding for psychiatric crises. Current US capacity is fragmented and underdeveloped; the SAMHSA evidence-based template for Crisis Now / Crisis Continuum architecture identifies approximately one stabilization center per 200,000 population as appropriate scale, suggesting approximately 1,700 facilities at nationwide steady state versus current approximately 400-600 operational facilities. Crisis-specialized clinical workforce: the crisis services components require a workforce pipeline distinct from the general mental health workforce expansion described in the Workforce section above. Crisis-specialized clinicians require specific training in suicide risk assessment, imminent-harm de-escalation, brief intervention, warm-handoff coordination with longitudinal care, and collaboration with mobile-crisis-team peer-support specialists. Pillar Six commits to a federal crisis-clinician training pipeline targeting approximately 25,000 to 35,000 crisis-specialized clinicians at nationwide steady state (compared to current estimated 8,000 to 12,000), with training programs hosted at academic medical centers and community mental health centers with documented crisis service capacity. Cost estimate for crisis services components: approximately 12 to 18 billion dollars annually at full deployment, within the broader Pillar Six cost envelope. This covers 988 expansion (~$3-4 billion), mobile crisis team buildout and operations (~$5-7 billion), crisis stabilization center capital and operations (~$3-5 billion), and crisis-specialized workforce development (~$1-2 billion). Integration with Pillar Twelve (Immigration) and tribal nations: 988 language access (currently available in English and Spanish with limited additional language coverage) is expanded to include the platform's multilingual-services framework languages (per Pillar Seven Civic Technology Subcomponent Five Accessibility and Multilingual Government Services). 988 service to tribal lands is coordinated through government-to-government consultation with tribal mental health authorities per the platform's Tribal Consultation Framework. Integration with general Pillar Six workforce expansion: the crisis-specialized workforce pipeline operates alongside (not separately from) the broader Pillar Six workforce expansion; crisis-specialty training is treated as a specialty track within the general mental-health-clinician education pathway rather than as a distinct credential. This concentrates specialty training in clinicians who will actually work in crisis services while preserving general workforce scalability. Crisis services architecture added in v3.7.230 to close Pillar 6 Finding 5 from the v3.7.207 SITE-36 review.</w:t>
      </w:r>
    </w:p>
    <w:p>
      <w:pPr>
        <w:pStyle w:val="Heading2"/>
        <w:spacing w:after="160" w:before="360"/>
      </w:pPr>
      <w:r>
        <w:rPr>
          <w:rFonts w:ascii="Arial" w:cs="Arial" w:eastAsia="Arial" w:hAnsi="Arial"/>
          <w:b/>
          <w:bCs/>
          <w:color w:val="1F4E78"/>
          <w:sz w:val="28"/>
          <w:szCs w:val="28"/>
        </w:rPr>
        <w:t xml:space="preserve">Stress Test Scenarios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Scenario</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Parameter Change</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Total Cost</w:t>
            </w:r>
          </w:p>
        </w:tc>
        <w:tc>
          <w:tcPr>
            <w:tcW w:type="dxa" w:w="225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Verdict</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Baseline</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Default assumptions</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$167B</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PASSES</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High demand</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Utilization rises to 50%</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$209B</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STRESSED</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Slow workforce</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Graduation rate 50% lower</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$167B</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STRESSED</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Psych gap persists</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Workforce gap doesn't close</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$167B</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STRESSED</w:t>
            </w:r>
          </w:p>
        </w:tc>
      </w:tr>
      <w:tr>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Compound adverse</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High demand + slow workforce</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$209B</w:t>
            </w:r>
          </w:p>
        </w:tc>
        <w:tc>
          <w:tcPr>
            <w:tcW w:type="dxa" w:w="225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BROKEN</w:t>
            </w:r>
          </w:p>
        </w:tc>
      </w:tr>
      <w:tr>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Cost overrun</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Avg cost per visit +30%</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$217B</w:t>
            </w:r>
          </w:p>
        </w:tc>
        <w:tc>
          <w:tcPr>
            <w:tcW w:type="dxa" w:w="225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STRESSED</w:t>
            </w:r>
          </w:p>
        </w:tc>
      </w:tr>
    </w:tbl>
    <w:p>
      <w:pPr>
        <w:spacing w:after="240"/>
      </w:pPr>
      <w:r>
        <w:t xml:space="preserve"/>
      </w:r>
    </w:p>
    <w:p>
      <w:pPr>
        <w:spacing w:after="200" w:line="320"/>
        <w:jc w:val="both"/>
      </w:pPr>
      <w:r>
        <w:rPr>
          <w:rFonts w:ascii="Georgia" w:cs="Georgia" w:eastAsia="Georgia" w:hAnsi="Georgia"/>
          <w:color w:val="1A1A1A"/>
          <w:sz w:val="22"/>
          <w:szCs w:val="22"/>
        </w:rPr>
        <w:t xml:space="preserve">Baseline passes. Most adverse single-variable scenarios result in stressed but survivable conditions. The compound adverse scenario (high demand combined with slow workforce growth) breaks the architecture without intervention. This is consistent with the broader v2.0 stress-testing pattern: the platform's architecture is robust to most adverse single-variable shocks but vulnerable to compound shocks that combine multiple stresses.</w:t>
      </w:r>
    </w:p>
    <w:p>
      <w:pPr>
        <w:pStyle w:val="Heading2"/>
        <w:spacing w:after="160" w:before="360"/>
      </w:pPr>
      <w:r>
        <w:rPr>
          <w:rFonts w:ascii="Arial" w:cs="Arial" w:eastAsia="Arial" w:hAnsi="Arial"/>
          <w:b/>
          <w:bCs/>
          <w:color w:val="1F4E78"/>
          <w:sz w:val="28"/>
          <w:szCs w:val="28"/>
        </w:rPr>
        <w:t xml:space="preserve">Mitigations by Scenario</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Specific mitigations for each stress scenario</w:t>
            </w:r>
          </w:p>
          <w:p>
            <w:pPr>
              <w:spacing w:after="100" w:line="280"/>
            </w:pPr>
            <w:r>
              <w:rPr>
                <w:rFonts w:ascii="Georgia" w:cs="Georgia" w:eastAsia="Georgia" w:hAnsi="Georgia"/>
                <w:color w:val="1A1A1A"/>
                <w:sz w:val="21"/>
                <w:szCs w:val="21"/>
              </w:rPr>
              <w:t xml:space="preserve">•  Higher utilization (50% rather than 40%): expand workforce development funding 50%, accelerate telehealth integration adoption, consider modest co-pays ($10-25 per visit) to manage demand without creating access barriers for low-income populations. Co-pays are not preferred but may be necessary if demand substantially exceeds workforce capacity.</w:t>
            </w:r>
          </w:p>
          <w:p>
            <w:pPr>
              <w:spacing w:after="100" w:line="280"/>
            </w:pPr>
            <w:r>
              <w:rPr>
                <w:rFonts w:ascii="Georgia" w:cs="Georgia" w:eastAsia="Georgia" w:hAnsi="Georgia"/>
                <w:color w:val="1A1A1A"/>
                <w:sz w:val="21"/>
                <w:szCs w:val="21"/>
              </w:rPr>
              <w:t xml:space="preserve">•  Slow workforce growth: accelerate PMHNP scope-of-practice expansion in restrictive states, expand foreign credential recognition pathways, increase residency slot funding (currently CMS-capped through Graduate Medical Education limits). Pursue Congressional action to lift residency caps as part of broader workforce policy.</w:t>
            </w:r>
          </w:p>
          <w:p>
            <w:pPr>
              <w:spacing w:after="100" w:line="280"/>
            </w:pPr>
            <w:r>
              <w:rPr>
                <w:rFonts w:ascii="Georgia" w:cs="Georgia" w:eastAsia="Georgia" w:hAnsi="Georgia"/>
                <w:color w:val="1A1A1A"/>
                <w:sz w:val="21"/>
                <w:szCs w:val="21"/>
              </w:rPr>
              <w:t xml:space="preserve">•  Persistent psychiatrist gap: shift more medication management to PMHNPs and primary care via collaborative care models, expand pharmacist authority for routine refills under standing orders, leverage telehealth for psychiatric consultation across geographic areas.</w:t>
            </w:r>
          </w:p>
          <w:p>
            <w:pPr>
              <w:spacing w:after="100" w:line="280"/>
            </w:pPr>
            <w:r>
              <w:rPr>
                <w:rFonts w:ascii="Georgia" w:cs="Georgia" w:eastAsia="Georgia" w:hAnsi="Georgia"/>
                <w:color w:val="1A1A1A"/>
                <w:sz w:val="21"/>
                <w:szCs w:val="21"/>
              </w:rPr>
              <w:t xml:space="preserve">•  Compound adverse scenario: implement above mitigations together, plus extend buildout from 15 to 20 years to manage workforce constraints. Honest acknowledgment that universal access at 50% utilization with severely constrained workforce growth requires longer timeline.</w:t>
            </w:r>
          </w:p>
          <w:p>
            <w:pPr>
              <w:spacing w:after="100" w:line="280"/>
            </w:pPr>
            <w:r>
              <w:rPr>
                <w:rFonts w:ascii="Georgia" w:cs="Georgia" w:eastAsia="Georgia" w:hAnsi="Georgia"/>
                <w:color w:val="1A1A1A"/>
                <w:sz w:val="21"/>
                <w:szCs w:val="21"/>
              </w:rPr>
              <w:t xml:space="preserve">•  Cost overrun: contracted rates negotiation under universal-access leverage (similar to healthcare transition plan), generic-first medication policies for routine prescriptions, emphasis on group therapy where clinically appropriate, technology-enabled brief interventions for mild conditions.</w:t>
            </w:r>
          </w:p>
        </w:tc>
      </w:tr>
    </w:tbl>
    <w:p>
      <w:pPr>
        <w:pStyle w:val="Heading2"/>
        <w:spacing w:after="160" w:before="360"/>
      </w:pPr>
      <w:r>
        <w:rPr>
          <w:rFonts w:ascii="Arial" w:cs="Arial" w:eastAsia="Arial" w:hAnsi="Arial"/>
          <w:b/>
          <w:bCs/>
          <w:color w:val="1F4E78"/>
          <w:sz w:val="28"/>
          <w:szCs w:val="28"/>
        </w:rPr>
        <w:t xml:space="preserve">What Stress Testing Reveals</w:t>
      </w:r>
    </w:p>
    <w:p>
      <w:pPr>
        <w:spacing w:after="200" w:line="320"/>
        <w:jc w:val="both"/>
      </w:pPr>
      <w:r>
        <w:rPr>
          <w:rFonts w:ascii="Georgia" w:cs="Georgia" w:eastAsia="Georgia" w:hAnsi="Georgia"/>
          <w:color w:val="1A1A1A"/>
          <w:sz w:val="22"/>
          <w:szCs w:val="22"/>
        </w:rPr>
        <w:t xml:space="preserve">The stress tests illuminate where the architecture's resilience comes from and where its vulnerabilities are. The funding mechanism is robust: payroll-based contributions of 0.8% combined ($106B) plus continued federal spending ($104B) total $210B [RESTATED v3.8.376] from $104B and $208B — substantially more than the baseline $167B program cost, providing buffer for cost overruns or higher utilization. Even the compound adverse scenario at $209B is essentially at funding capacity rather than catastrophically over.</w:t>
      </w:r>
    </w:p>
    <w:p>
      <w:pPr>
        <w:spacing w:after="200" w:line="320"/>
        <w:jc w:val="both"/>
      </w:pPr>
      <w:r>
        <w:rPr>
          <w:rFonts w:ascii="Georgia" w:cs="Georgia" w:eastAsia="Georgia" w:hAnsi="Georgia"/>
          <w:color w:val="1A1A1A"/>
          <w:sz w:val="22"/>
          <w:szCs w:val="22"/>
        </w:rPr>
        <w:t xml:space="preserve">The workforce mechanism is the architecture's structural vulnerability. Funding adequacy doesn't matter if patients cannot access providers. The architecture passes when workforce expansion, telehealth integration, and collaborative care all work as designed. It breaks when workforce growth is substantially slower than projected (suggesting policy changes around training pipeline didn't materialize) combined with higher demand than projected. This is the failure mode worth most attention.</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“Funding adequacy is robust across scenarios. Workforce adequacy is the structural vulnerability. The platform's mental health architecture stands or falls primarily on whether the workforce mitigations — PMHNP expansion, telehealth integration, collaborative care, redistribution — actually materialize together rather than in isolation.”</w:t>
            </w:r>
          </w:p>
        </w:tc>
      </w:tr>
    </w:tbl>
    <w:p>
      <w:r>
        <w:br w:type="page"/>
      </w:r>
    </w:p>
    <w:p>
      <w:pPr>
        <w:pStyle w:val="Heading1"/>
        <w:spacing w:after="240" w:before="480"/>
      </w:pPr>
      <w:r>
        <w:rPr>
          <w:rFonts w:ascii="Arial" w:cs="Arial" w:eastAsia="Arial" w:hAnsi="Arial"/>
          <w:b/>
          <w:bCs/>
          <w:color w:val="1F4E78"/>
          <w:sz w:val="36"/>
          <w:szCs w:val="36"/>
        </w:rPr>
        <w:t xml:space="preserve">Honest Acknowledgments and What Remains Unresolved</w:t>
      </w:r>
    </w:p>
    <w:p>
      <w:pPr>
        <w:spacing w:after="240" w:line="340"/>
        <w:jc w:val="both"/>
      </w:pPr>
      <w:r>
        <w:rPr>
          <w:rFonts w:ascii="Georgia" w:cs="Georgia" w:eastAsia="Georgia" w:hAnsi="Georgia"/>
          <w:color w:val="1A1A1A"/>
          <w:sz w:val="24"/>
          <w:szCs w:val="24"/>
        </w:rPr>
        <w:t xml:space="preserve">This document substantiates the Universal Mental Health Access pillar with the depth that childcare and healthcare reached in v2.0. The substantiation answers the operational feasibility question that the original mathematical model couldn't fully address. It also surfaces real limitations the platform should be honest about.</w:t>
      </w:r>
    </w:p>
    <w:p>
      <w:pPr>
        <w:pStyle w:val="Heading2"/>
        <w:spacing w:after="160" w:before="360"/>
      </w:pPr>
      <w:r>
        <w:rPr>
          <w:rFonts w:ascii="Arial" w:cs="Arial" w:eastAsia="Arial" w:hAnsi="Arial"/>
          <w:b/>
          <w:bCs/>
          <w:color w:val="1F4E78"/>
          <w:sz w:val="28"/>
          <w:szCs w:val="28"/>
        </w:rPr>
        <w:t xml:space="preserve">What This Substantiation Establishes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What the platform now claims with substantive support</w:t>
            </w:r>
          </w:p>
          <w:p>
            <w:pPr>
              <w:spacing w:after="100" w:line="280"/>
            </w:pPr>
            <w:r>
              <w:rPr>
                <w:rFonts w:ascii="Georgia" w:cs="Georgia" w:eastAsia="Georgia" w:hAnsi="Georgia"/>
                <w:color w:val="1A1A1A"/>
                <w:sz w:val="21"/>
                <w:szCs w:val="21"/>
              </w:rPr>
              <w:t xml:space="preserve">•  Universal mental health access at 40% utilization is fiscally viable: $113B in service costs, funded by ~$104B in payroll contributions plus ~$104B in existing federal spending, leaves the system with surplus.</w:t>
            </w:r>
          </w:p>
          <w:p>
            <w:pPr>
              <w:spacing w:after="100" w:line="280"/>
            </w:pPr>
            <w:r>
              <w:rPr>
                <w:rFonts w:ascii="Georgia" w:cs="Georgia" w:eastAsia="Georgia" w:hAnsi="Georgia"/>
                <w:color w:val="1A1A1A"/>
                <w:sz w:val="21"/>
                <w:szCs w:val="21"/>
              </w:rPr>
              <w:t xml:space="preserve">•  Workforce capacity is operationally feasible by Year 8-12 through combined PMHNP expansion, workforce redistribution (shifting existing surplus from non-clinical to clinical specialty), telehealth integration (1.5-2.5x capacity multiplier), and collaborative care integration with primary care.</w:t>
            </w:r>
          </w:p>
          <w:p>
            <w:pPr>
              <w:spacing w:after="100" w:line="280"/>
            </w:pPr>
            <w:r>
              <w:rPr>
                <w:rFonts w:ascii="Georgia" w:cs="Georgia" w:eastAsia="Georgia" w:hAnsi="Georgia"/>
                <w:color w:val="1A1A1A"/>
                <w:sz w:val="21"/>
                <w:szCs w:val="21"/>
              </w:rPr>
              <w:t xml:space="preserve">•  Geographic access improves substantially: urban areas reach near-universal access, suburban areas approach near-universal, rural areas close 60-80% of the gap, frontier areas close approximately 30%.</w:t>
            </w:r>
          </w:p>
          <w:p>
            <w:pPr>
              <w:spacing w:after="100" w:line="280"/>
            </w:pPr>
            <w:r>
              <w:rPr>
                <w:rFonts w:ascii="Georgia" w:cs="Georgia" w:eastAsia="Georgia" w:hAnsi="Georgia"/>
                <w:color w:val="1A1A1A"/>
                <w:sz w:val="21"/>
                <w:szCs w:val="21"/>
              </w:rPr>
              <w:t xml:space="preserve">•  Service category differentiation makes workforce planning realistic: psychiatric medication management has the most acute workforce constraint, but it is also the service that benefits most from telehealth (2.5x multiplier) and PMHNP substitution.</w:t>
            </w:r>
          </w:p>
          <w:p>
            <w:pPr>
              <w:spacing w:after="100" w:line="280"/>
            </w:pPr>
            <w:r>
              <w:rPr>
                <w:rFonts w:ascii="Georgia" w:cs="Georgia" w:eastAsia="Georgia" w:hAnsi="Georgia"/>
                <w:color w:val="1A1A1A"/>
                <w:sz w:val="21"/>
                <w:szCs w:val="21"/>
              </w:rPr>
              <w:t xml:space="preserve">•  Stress tests confirm robustness to most adverse single-variable shocks; compound adverse scenarios require timeline extension and intensified mitigation.</w:t>
            </w:r>
          </w:p>
        </w:tc>
      </w:tr>
    </w:tbl>
    <w:p>
      <w:pPr>
        <w:pStyle w:val="Heading2"/>
        <w:spacing w:after="160" w:before="360"/>
      </w:pPr>
      <w:r>
        <w:rPr>
          <w:rFonts w:ascii="Arial" w:cs="Arial" w:eastAsia="Arial" w:hAnsi="Arial"/>
          <w:b/>
          <w:bCs/>
          <w:color w:val="1F4E78"/>
          <w:sz w:val="28"/>
          <w:szCs w:val="28"/>
        </w:rPr>
        <w:t xml:space="preserve">What Remains Unresolved</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Honest limits the substantiation doesn't eliminate</w:t>
            </w:r>
          </w:p>
          <w:p>
            <w:pPr>
              <w:spacing w:after="100" w:line="280"/>
            </w:pPr>
            <w:r>
              <w:rPr>
                <w:rFonts w:ascii="Georgia" w:cs="Georgia" w:eastAsia="Georgia" w:hAnsi="Georgia"/>
                <w:color w:val="1A1A1A"/>
                <w:sz w:val="21"/>
                <w:szCs w:val="21"/>
              </w:rPr>
              <w:t xml:space="preserve">•  Frontier and remote rural areas will have access gaps for decades despite all mitigations. The platform commits to substantial improvement, not complete elimination.</w:t>
            </w:r>
          </w:p>
          <w:p>
            <w:pPr>
              <w:spacing w:after="100" w:line="280"/>
            </w:pPr>
            <w:r>
              <w:rPr>
                <w:rFonts w:ascii="Georgia" w:cs="Georgia" w:eastAsia="Georgia" w:hAnsi="Georgia"/>
                <w:color w:val="1A1A1A"/>
                <w:sz w:val="21"/>
                <w:szCs w:val="21"/>
              </w:rPr>
              <w:t xml:space="preserve">•  Cultural and linguistic competency in the workforce is inadequate to serve a culturally diverse American population. Workforce expansion programs must explicitly address this; they cannot rely on aggregate workforce numbers alone.</w:t>
            </w:r>
          </w:p>
          <w:p>
            <w:pPr>
              <w:spacing w:after="100" w:line="280"/>
            </w:pPr>
            <w:r>
              <w:rPr>
                <w:rFonts w:ascii="Georgia" w:cs="Georgia" w:eastAsia="Georgia" w:hAnsi="Georgia"/>
                <w:color w:val="1A1A1A"/>
                <w:sz w:val="21"/>
                <w:szCs w:val="21"/>
              </w:rPr>
              <w:t xml:space="preserve">•  Severe mental illness (schizophrenia, severe bipolar, treatment-resistant depression) requires intensive specialty care that even universal access funding cannot fully expand to meet need. Inpatient psychiatric capacity is severely limited; the platform cannot rapidly expand it.</w:t>
            </w:r>
          </w:p>
          <w:p>
            <w:pPr>
              <w:spacing w:after="100" w:line="280"/>
            </w:pPr>
            <w:r>
              <w:rPr>
                <w:rFonts w:ascii="Georgia" w:cs="Georgia" w:eastAsia="Georgia" w:hAnsi="Georgia"/>
                <w:color w:val="1A1A1A"/>
                <w:sz w:val="21"/>
                <w:szCs w:val="21"/>
              </w:rPr>
              <w:t xml:space="preserve">•  Substance use disorders overlap with mental health but have distinctive treatment needs (medication-assisted treatment, residential rehabilitation, harm reduction services). The platform's mental health pillar partially addresses substance use but doesn't fully substitute for substance-use-specific programs.</w:t>
            </w:r>
          </w:p>
          <w:p>
            <w:pPr>
              <w:spacing w:after="100" w:line="280"/>
            </w:pPr>
            <w:r>
              <w:rPr>
                <w:rFonts w:ascii="Georgia" w:cs="Georgia" w:eastAsia="Georgia" w:hAnsi="Georgia"/>
                <w:color w:val="1A1A1A"/>
                <w:sz w:val="21"/>
                <w:szCs w:val="21"/>
              </w:rPr>
              <w:t xml:space="preserve">•  Quality of care varies enormously across providers and settings. Universal access funding doesn't automatically produce universal quality. Quality improvement requires separate work that the platform identifies but doesn't fully resolve.</w:t>
            </w:r>
          </w:p>
          <w:p>
            <w:pPr>
              <w:spacing w:after="100" w:line="280"/>
            </w:pPr>
            <w:r>
              <w:rPr>
                <w:rFonts w:ascii="Georgia" w:cs="Georgia" w:eastAsia="Georgia" w:hAnsi="Georgia"/>
                <w:color w:val="1A1A1A"/>
                <w:sz w:val="21"/>
                <w:szCs w:val="21"/>
              </w:rPr>
              <w:t xml:space="preserve">•  Children and adolescent mental health has distinctive needs (school-based services, family therapy, developmental considerations) that this analysis treats less explicitly than adult services. A separate substantiation document for child and adolescent mental health would be appropriate.</w:t>
            </w:r>
          </w:p>
          <w:p>
            <w:pPr>
              <w:spacing w:after="100" w:line="280"/>
            </w:pPr>
            <w:r>
              <w:rPr>
                <w:rFonts w:ascii="Georgia" w:cs="Georgia" w:eastAsia="Georgia" w:hAnsi="Georgia"/>
                <w:color w:val="1A1A1A"/>
                <w:sz w:val="21"/>
                <w:szCs w:val="21"/>
              </w:rPr>
              <w:t xml:space="preserve">•  Mental health workforce burnout is severe; the platform's expanded utilization could worsen this without specific interventions for provider wellbeing.</w:t>
            </w:r>
          </w:p>
        </w:tc>
      </w:tr>
    </w:tbl>
    <w:p>
      <w:pPr>
        <w:pStyle w:val="Heading2"/>
        <w:spacing w:after="160" w:before="360"/>
      </w:pPr>
      <w:r>
        <w:rPr>
          <w:rFonts w:ascii="Arial" w:cs="Arial" w:eastAsia="Arial" w:hAnsi="Arial"/>
          <w:b/>
          <w:bCs/>
          <w:color w:val="1F4E78"/>
          <w:sz w:val="28"/>
          <w:szCs w:val="28"/>
        </w:rPr>
        <w:t xml:space="preserve">What This Means for the Platform</w:t>
      </w:r>
    </w:p>
    <w:p>
      <w:pPr>
        <w:spacing w:after="200" w:line="320"/>
        <w:jc w:val="both"/>
      </w:pPr>
      <w:r>
        <w:rPr>
          <w:rFonts w:ascii="Georgia" w:cs="Georgia" w:eastAsia="Georgia" w:hAnsi="Georgia"/>
          <w:color w:val="1A1A1A"/>
          <w:sz w:val="22"/>
          <w:szCs w:val="22"/>
        </w:rPr>
        <w:t xml:space="preserve">Universal Mental Health Access moves from concept-level pillar to substantively defended pillar in this version. The operational feasibility question — can the platform actually deliver universal access given the workforce constraint? — has a substantive answer: yes, through combined workforce expansion, redistribution, telehealth integration, collaborative care, and parity enforcement, with timeline of 8-12 years for operational adequacy and 18+ years for full universal access. The remaining limits are acknowledged honestly: geography, cultural competency, severe mental illness capacity, substance use overlap, quality variation, and provider burnout are real constraints the platform cannot fully eliminate.</w:t>
      </w:r>
    </w:p>
    <w:p>
      <w:pPr>
        <w:spacing w:after="200" w:line="320"/>
        <w:jc w:val="both"/>
      </w:pPr>
      <w:r>
        <w:rPr>
          <w:rFonts w:ascii="Georgia" w:cs="Georgia" w:eastAsia="Georgia" w:hAnsi="Georgia"/>
          <w:color w:val="1A1A1A"/>
          <w:sz w:val="22"/>
          <w:szCs w:val="22"/>
        </w:rPr>
        <w:t xml:space="preserve">The pattern this document continues parallels what was done for childcare and healthcare: take the existing concept-level work, identify where depth is missing, build substantive analysis to fill those gaps, and acknowledge what remains unresolved. The same pattern remains available for the other concept-level pillars (Civic Infrastructure, Future Capacity Fund, Proof-of-Concept Fund) and for any future questions or external reviews that surface specific concerns.</w:t>
      </w:r>
    </w:p>
    <w:p>
      <w:pPr>
        <w:pStyle w:val="Heading2"/>
        <w:spacing w:after="160" w:before="360"/>
      </w:pPr>
      <w:r>
        <w:rPr>
          <w:rFonts w:ascii="Arial" w:cs="Arial" w:eastAsia="Arial" w:hAnsi="Arial"/>
          <w:b/>
          <w:bCs/>
          <w:color w:val="1F4E78"/>
          <w:sz w:val="28"/>
          <w:szCs w:val="28"/>
        </w:rPr>
        <w:t xml:space="preserve">What the Platform Asks of Readers</w:t>
      </w:r>
    </w:p>
    <w:p>
      <w:pPr>
        <w:spacing w:after="200" w:line="320"/>
        <w:jc w:val="both"/>
      </w:pPr>
      <w:r>
        <w:rPr>
          <w:rFonts w:ascii="Georgia" w:cs="Georgia" w:eastAsia="Georgia" w:hAnsi="Georgia"/>
          <w:color w:val="1A1A1A"/>
          <w:sz w:val="22"/>
          <w:szCs w:val="22"/>
        </w:rPr>
        <w:t xml:space="preserve">Readers who find the substantiation compelling are invited to engage with specific elements: the workforce expansion mathematics (does the PMHNP and redistribution analysis hold?), the telehealth integration assumptions (is the 1.5-2.5x multiplier supported by evidence?), the geographic distribution analysis (do the rural and frontier mitigations work?), the parity enforcement framework (is it adequate?), and the collaborative care implementation (is it operationally feasible at this scale?). Readers with mental health policy expertise, clinical practice experience, or workforce development backgrounds will likely identify refinements the platform should incorporate.</w:t>
      </w:r>
    </w:p>
    <w:p>
      <w:pPr>
        <w:spacing w:after="200" w:line="320"/>
        <w:jc w:val="both"/>
      </w:pPr>
      <w:r>
        <w:rPr>
          <w:rFonts w:ascii="Georgia" w:cs="Georgia" w:eastAsia="Georgia" w:hAnsi="Georgia"/>
          <w:color w:val="1A1A1A"/>
          <w:sz w:val="22"/>
          <w:szCs w:val="22"/>
        </w:rPr>
        <w:t xml:space="preserve">Readers who find specific elements inadequate are invited to engage with what would make them adequate. The platform's commitment continues: take serious questions seriously, articulate specific responses, identify what additional work would help, and acknowledge what remains beyond the platform's scope. Universal Mental Health Access substantiation is one specific instance of that commitment. Other pillars and other questions will produce other instances.</w:t>
      </w:r>
    </w:p>
    <w:p>
      <w:pPr>
        <w:spacing w:after="40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original mental health model demonstrated fiscal viability in approximately 30 cells of an Excel spreadsheet. This substantiation document and the expanded model demonstrate operational feasibility through 357 formulas across 10 sheets and 22 pages of framing analysis. The pillar has graduated from concept-level to substantively defended.”</w:t>
            </w:r>
          </w:p>
        </w:tc>
      </w:tr>
    </w:tbl>
    <w:p>
      <w:pPr>
        <w:spacing w:after="400"/>
      </w:pPr>
      <w:r>
        <w:t xml:space="preserve"/>
      </w:r>
    </w:p>
    <w:p>
      <w:pPr>
        <w:spacing w:after="100"/>
        <w:jc w:val="center"/>
      </w:pPr>
      <w:r>
        <w:rPr>
          <w:rFonts w:ascii="Georgia" w:cs="Georgia" w:eastAsia="Georgia" w:hAnsi="Georgia"/>
          <w:b/>
          <w:bCs/>
          <w:color w:val="1A1A1A"/>
          <w:sz w:val="24"/>
          <w:szCs w:val="24"/>
        </w:rPr>
        <w:t xml:space="preserve">Jason Robertson</w:t>
      </w:r>
    </w:p>
    <w:p>
      <w:pPr>
        <w:jc w:val="center"/>
      </w:pPr>
      <w:r>
        <w:rPr>
          <w:rFonts w:ascii="Georgia" w:cs="Georgia" w:eastAsia="Georgia" w:hAnsi="Georgia"/>
          <w:i/>
          <w:iCs/>
          <w:color w:val="595959"/>
          <w:sz w:val="22"/>
          <w:szCs w:val="22"/>
        </w:rPr>
        <w:t xml:space="preserve">Ohio, May 4, 2026</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MH Substantiation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Universal Mental Health Access Substantiation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Universal Mental Health Access Substantiation</dc:title>
  <dc:creator>Jason Robertson</dc:creator>
  <cp:lastModifiedBy>Un-named</cp:lastModifiedBy>
  <cp:revision>1</cp:revision>
  <dcterms:created xsi:type="dcterms:W3CDTF">2026-05-04T20:09:50.186Z</dcterms:created>
  <dcterms:modified xsi:type="dcterms:W3CDTF">2026-05-04T20:09:50.201Z</dcterms:modified>
</cp:coreProperties>
</file>

<file path=docProps/custom.xml><?xml version="1.0" encoding="utf-8"?>
<Properties xmlns="http://schemas.openxmlformats.org/officeDocument/2006/custom-properties" xmlns:vt="http://schemas.openxmlformats.org/officeDocument/2006/docPropsVTypes"/>
</file>